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eastAsia="zh-CN"/>
          <w14:textOutline w14:w="10151" w14:cap="sq" w14:cmpd="sng">
            <w14:solidFill>
              <w14:srgbClr w14:val="000000"/>
            </w14:solidFill>
            <w14:prstDash w14:val="solid"/>
            <w14:bevel/>
          </w14:textOutline>
        </w:rPr>
      </w:pPr>
      <w:bookmarkStart w:id="0" w:name="_Toc15234"/>
      <w:bookmarkStart w:id="1" w:name="_Toc13346"/>
      <w:bookmarkStart w:id="2" w:name="_Toc26402"/>
    </w:p>
    <w:bookmarkEnd w:id="0"/>
    <w:bookmarkEnd w:id="1"/>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bookmarkStart w:id="3" w:name="_Toc16021"/>
      <w:bookmarkStart w:id="4" w:name="_Toc19894"/>
      <w:bookmarkStart w:id="5" w:name="_Toc5531"/>
      <w:bookmarkStart w:id="6" w:name="_Toc308"/>
      <w:bookmarkStart w:id="7" w:name="_Toc8236"/>
      <w:bookmarkStart w:id="8" w:name="_Toc23487"/>
      <w:bookmarkStart w:id="9" w:name="_Toc22416"/>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山东省第二康复医院住院楼</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钢质防火门更换项目</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采购</w:t>
      </w: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文件</w:t>
      </w:r>
      <w:bookmarkEnd w:id="2"/>
      <w:bookmarkEnd w:id="3"/>
      <w:bookmarkEnd w:id="4"/>
      <w:bookmarkEnd w:id="5"/>
      <w:bookmarkEnd w:id="6"/>
      <w:bookmarkEnd w:id="7"/>
      <w:bookmarkEnd w:id="8"/>
      <w:bookmarkEnd w:id="9"/>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default" w:ascii="仿宋" w:hAnsi="仿宋" w:eastAsia="仿宋" w:cs="仿宋"/>
          <w:spacing w:val="9"/>
          <w:sz w:val="32"/>
          <w:szCs w:val="32"/>
          <w:lang w:val="en-US" w:eastAsia="zh-CN"/>
        </w:rPr>
      </w:pPr>
      <w:r>
        <w:rPr>
          <w:rFonts w:hint="eastAsia" w:ascii="仿宋" w:hAnsi="仿宋" w:eastAsia="仿宋" w:cs="仿宋"/>
          <w:spacing w:val="9"/>
          <w:sz w:val="32"/>
          <w:szCs w:val="32"/>
        </w:rPr>
        <w:t>项目编号：</w:t>
      </w:r>
      <w:r>
        <w:rPr>
          <w:rFonts w:hint="eastAsia" w:ascii="仿宋" w:hAnsi="仿宋" w:eastAsia="仿宋" w:cs="仿宋"/>
          <w:spacing w:val="9"/>
          <w:sz w:val="32"/>
          <w:szCs w:val="32"/>
          <w:lang w:val="en-US" w:eastAsia="zh-CN"/>
        </w:rPr>
        <w:t>SDSDEKFYY2023010</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rPr>
        <w:t>采购人：山东</w:t>
      </w:r>
      <w:r>
        <w:rPr>
          <w:rFonts w:hint="eastAsia" w:ascii="仿宋" w:hAnsi="仿宋" w:eastAsia="仿宋" w:cs="仿宋"/>
          <w:spacing w:val="9"/>
          <w:sz w:val="32"/>
          <w:szCs w:val="32"/>
          <w:lang w:val="en-US" w:eastAsia="zh-CN"/>
        </w:rPr>
        <w:t>省第二康复医院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pacing w:val="9"/>
          <w:sz w:val="32"/>
          <w:szCs w:val="32"/>
        </w:rPr>
        <w:t>二〇二</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年</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sdt>
      <w:sdtPr>
        <w:rPr>
          <w:rFonts w:ascii="宋体" w:hAnsi="宋体" w:eastAsia="宋体" w:cstheme="minorBidi"/>
          <w:kern w:val="2"/>
          <w:sz w:val="21"/>
          <w:szCs w:val="22"/>
          <w:lang w:val="en-US" w:eastAsia="zh-CN" w:bidi="ar-SA"/>
        </w:rPr>
        <w:id w:val="147483525"/>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7"/>
            <w:tabs>
              <w:tab w:val="right" w:leader="dot" w:pos="8306"/>
            </w:tabs>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_Toc25046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一、</w:t>
          </w:r>
          <w:r>
            <w:rPr>
              <w:rFonts w:hint="eastAsia" w:ascii="仿宋" w:hAnsi="仿宋" w:eastAsia="仿宋" w:cs="仿宋"/>
              <w:b/>
              <w:bCs/>
              <w:sz w:val="28"/>
              <w:szCs w:val="44"/>
            </w:rPr>
            <w:t>采购</w:t>
          </w:r>
          <w:r>
            <w:rPr>
              <w:rFonts w:hint="eastAsia" w:ascii="仿宋" w:hAnsi="仿宋" w:eastAsia="仿宋" w:cs="仿宋"/>
              <w:b/>
              <w:bCs/>
              <w:sz w:val="28"/>
              <w:szCs w:val="44"/>
              <w:lang w:val="en-US" w:eastAsia="zh-CN"/>
            </w:rPr>
            <w:t>方式</w:t>
          </w:r>
          <w:r>
            <w:rPr>
              <w:rFonts w:hint="eastAsia" w:ascii="仿宋" w:hAnsi="仿宋" w:eastAsia="仿宋" w:cs="仿宋"/>
              <w:b/>
              <w:bCs/>
              <w:sz w:val="28"/>
              <w:szCs w:val="44"/>
            </w:rPr>
            <w:t>说明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_Toc25046 \h </w:instrText>
          </w:r>
          <w:r>
            <w:rPr>
              <w:rFonts w:hint="eastAsia" w:ascii="仿宋" w:hAnsi="仿宋" w:eastAsia="仿宋" w:cs="仿宋"/>
              <w:sz w:val="28"/>
              <w:szCs w:val="32"/>
            </w:rPr>
            <w:fldChar w:fldCharType="separate"/>
          </w:r>
          <w:r>
            <w:rPr>
              <w:rFonts w:hint="eastAsia" w:ascii="仿宋" w:hAnsi="仿宋" w:eastAsia="仿宋" w:cs="仿宋"/>
              <w:sz w:val="28"/>
              <w:szCs w:val="32"/>
            </w:rPr>
            <w:t>- 1 -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_Toc18377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二、项目名称及编号</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_Toc18377 \h </w:instrText>
          </w:r>
          <w:r>
            <w:rPr>
              <w:rFonts w:hint="eastAsia" w:ascii="仿宋" w:hAnsi="仿宋" w:eastAsia="仿宋" w:cs="仿宋"/>
              <w:sz w:val="28"/>
              <w:szCs w:val="32"/>
            </w:rPr>
            <w:fldChar w:fldCharType="separate"/>
          </w:r>
          <w:r>
            <w:rPr>
              <w:rFonts w:hint="eastAsia" w:ascii="仿宋" w:hAnsi="仿宋" w:eastAsia="仿宋" w:cs="仿宋"/>
              <w:sz w:val="28"/>
              <w:szCs w:val="32"/>
            </w:rPr>
            <w:t>- 1 -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_Toc4749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三、采购需求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_Toc4749 \h </w:instrText>
          </w:r>
          <w:r>
            <w:rPr>
              <w:rFonts w:hint="eastAsia" w:ascii="仿宋" w:hAnsi="仿宋" w:eastAsia="仿宋" w:cs="仿宋"/>
              <w:sz w:val="28"/>
              <w:szCs w:val="32"/>
            </w:rPr>
            <w:fldChar w:fldCharType="separate"/>
          </w:r>
          <w:r>
            <w:rPr>
              <w:rFonts w:hint="eastAsia" w:ascii="仿宋" w:hAnsi="仿宋" w:eastAsia="仿宋" w:cs="仿宋"/>
              <w:sz w:val="28"/>
              <w:szCs w:val="32"/>
            </w:rPr>
            <w:t>- 1 -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_Toc23449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四、响应文件内容及要求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_Toc23449 \h </w:instrText>
          </w:r>
          <w:r>
            <w:rPr>
              <w:rFonts w:hint="eastAsia" w:ascii="仿宋" w:hAnsi="仿宋" w:eastAsia="仿宋" w:cs="仿宋"/>
              <w:sz w:val="28"/>
              <w:szCs w:val="32"/>
            </w:rPr>
            <w:fldChar w:fldCharType="separate"/>
          </w:r>
          <w:r>
            <w:rPr>
              <w:rFonts w:hint="eastAsia" w:ascii="仿宋" w:hAnsi="仿宋" w:eastAsia="仿宋" w:cs="仿宋"/>
              <w:sz w:val="28"/>
              <w:szCs w:val="32"/>
            </w:rPr>
            <w:t>- 2 -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_Toc26339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五、其他</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_Toc26339 \h </w:instrText>
          </w:r>
          <w:r>
            <w:rPr>
              <w:rFonts w:hint="eastAsia" w:ascii="仿宋" w:hAnsi="仿宋" w:eastAsia="仿宋" w:cs="仿宋"/>
              <w:sz w:val="28"/>
              <w:szCs w:val="32"/>
            </w:rPr>
            <w:fldChar w:fldCharType="separate"/>
          </w:r>
          <w:r>
            <w:rPr>
              <w:rFonts w:hint="eastAsia" w:ascii="仿宋" w:hAnsi="仿宋" w:eastAsia="仿宋" w:cs="仿宋"/>
              <w:sz w:val="28"/>
              <w:szCs w:val="32"/>
            </w:rPr>
            <w:t>- 10 -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_Toc10857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六、评审办法及评分标准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_Toc10857 \h </w:instrText>
          </w:r>
          <w:r>
            <w:rPr>
              <w:rFonts w:hint="eastAsia" w:ascii="仿宋" w:hAnsi="仿宋" w:eastAsia="仿宋" w:cs="仿宋"/>
              <w:sz w:val="28"/>
              <w:szCs w:val="32"/>
            </w:rPr>
            <w:fldChar w:fldCharType="separate"/>
          </w:r>
          <w:r>
            <w:rPr>
              <w:rFonts w:hint="eastAsia" w:ascii="仿宋" w:hAnsi="仿宋" w:eastAsia="仿宋" w:cs="仿宋"/>
              <w:sz w:val="28"/>
              <w:szCs w:val="32"/>
            </w:rPr>
            <w:t>- 10 -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_Toc9625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附件</w:t>
          </w:r>
          <w:r>
            <w:rPr>
              <w:rFonts w:hint="eastAsia" w:ascii="仿宋" w:hAnsi="仿宋" w:eastAsia="仿宋" w:cs="仿宋"/>
              <w:sz w:val="28"/>
              <w:szCs w:val="44"/>
              <w:lang w:val="en-US" w:eastAsia="zh-CN"/>
            </w:rPr>
            <w:t xml:space="preserve"> </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_Toc9625 \h </w:instrText>
          </w:r>
          <w:r>
            <w:rPr>
              <w:rFonts w:hint="eastAsia" w:ascii="仿宋" w:hAnsi="仿宋" w:eastAsia="仿宋" w:cs="仿宋"/>
              <w:sz w:val="28"/>
              <w:szCs w:val="32"/>
            </w:rPr>
            <w:fldChar w:fldCharType="separate"/>
          </w:r>
          <w:r>
            <w:rPr>
              <w:rFonts w:hint="eastAsia" w:ascii="仿宋" w:hAnsi="仿宋" w:eastAsia="仿宋" w:cs="仿宋"/>
              <w:sz w:val="28"/>
              <w:szCs w:val="32"/>
            </w:rPr>
            <w:t>- 12 -</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rPr>
      </w:pPr>
      <w:bookmarkStart w:id="10" w:name="_Toc25046"/>
      <w:r>
        <w:rPr>
          <w:rFonts w:hint="eastAsia" w:ascii="黑体" w:hAnsi="黑体" w:eastAsia="黑体" w:cs="黑体"/>
          <w:sz w:val="32"/>
          <w:szCs w:val="32"/>
          <w:lang w:val="en-US" w:eastAsia="zh-CN"/>
        </w:rPr>
        <w:t>一、</w:t>
      </w:r>
      <w:r>
        <w:rPr>
          <w:rFonts w:hint="eastAsia" w:ascii="黑体" w:hAnsi="黑体" w:eastAsia="黑体" w:cs="黑体"/>
          <w:sz w:val="32"/>
          <w:szCs w:val="32"/>
        </w:rPr>
        <w:t>采购</w:t>
      </w:r>
      <w:r>
        <w:rPr>
          <w:rFonts w:hint="eastAsia" w:ascii="黑体" w:hAnsi="黑体" w:eastAsia="黑体" w:cs="黑体"/>
          <w:sz w:val="32"/>
          <w:szCs w:val="32"/>
          <w:lang w:val="en-US" w:eastAsia="zh-CN"/>
        </w:rPr>
        <w:t>方式</w:t>
      </w:r>
      <w:r>
        <w:rPr>
          <w:rFonts w:hint="eastAsia" w:ascii="黑体" w:hAnsi="黑体" w:eastAsia="黑体" w:cs="黑体"/>
          <w:sz w:val="32"/>
          <w:szCs w:val="32"/>
        </w:rPr>
        <w:t>说明</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根据供应商推荐的产品，在满足</w:t>
      </w:r>
      <w:r>
        <w:rPr>
          <w:rFonts w:hint="eastAsia" w:ascii="仿宋" w:hAnsi="仿宋" w:eastAsia="仿宋" w:cs="仿宋"/>
          <w:sz w:val="32"/>
          <w:szCs w:val="32"/>
          <w:lang w:val="en-US" w:eastAsia="zh-CN"/>
        </w:rPr>
        <w:t>采购人</w:t>
      </w:r>
      <w:r>
        <w:rPr>
          <w:rFonts w:hint="eastAsia" w:ascii="仿宋" w:hAnsi="仿宋" w:eastAsia="仿宋" w:cs="仿宋"/>
          <w:sz w:val="32"/>
          <w:szCs w:val="32"/>
        </w:rPr>
        <w:t>需求和预算要求的条件下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评审小组</w:t>
      </w:r>
      <w:r>
        <w:rPr>
          <w:rFonts w:hint="eastAsia" w:ascii="仿宋" w:hAnsi="仿宋" w:eastAsia="仿宋" w:cs="仿宋"/>
          <w:sz w:val="32"/>
          <w:szCs w:val="32"/>
        </w:rPr>
        <w:t>综合评定产品的</w:t>
      </w:r>
      <w:r>
        <w:rPr>
          <w:rFonts w:hint="eastAsia" w:ascii="仿宋" w:hAnsi="仿宋" w:eastAsia="仿宋" w:cs="仿宋"/>
          <w:sz w:val="32"/>
          <w:szCs w:val="32"/>
          <w:lang w:val="en-US" w:eastAsia="zh-CN"/>
        </w:rPr>
        <w:t>质量、</w:t>
      </w:r>
      <w:r>
        <w:rPr>
          <w:rFonts w:hint="eastAsia" w:ascii="仿宋" w:hAnsi="仿宋" w:eastAsia="仿宋" w:cs="仿宋"/>
          <w:sz w:val="32"/>
          <w:szCs w:val="32"/>
        </w:rPr>
        <w:t>性能、价格，供应商业绩及售后服务</w:t>
      </w:r>
      <w:r>
        <w:rPr>
          <w:rFonts w:hint="eastAsia" w:ascii="仿宋" w:hAnsi="仿宋" w:eastAsia="仿宋" w:cs="仿宋"/>
          <w:sz w:val="32"/>
          <w:szCs w:val="32"/>
          <w:lang w:val="en-US" w:eastAsia="zh-CN"/>
        </w:rPr>
        <w:t>等</w:t>
      </w:r>
      <w:r>
        <w:rPr>
          <w:rFonts w:hint="eastAsia" w:ascii="仿宋" w:hAnsi="仿宋" w:eastAsia="仿宋" w:cs="仿宋"/>
          <w:sz w:val="32"/>
          <w:szCs w:val="32"/>
        </w:rPr>
        <w:t>情况，现场评选出</w:t>
      </w:r>
      <w:r>
        <w:rPr>
          <w:rFonts w:hint="eastAsia" w:ascii="仿宋" w:hAnsi="仿宋" w:eastAsia="仿宋" w:cs="仿宋"/>
          <w:sz w:val="32"/>
          <w:szCs w:val="32"/>
          <w:lang w:val="en-US" w:eastAsia="zh-CN"/>
        </w:rPr>
        <w:t>候选</w:t>
      </w:r>
      <w:r>
        <w:rPr>
          <w:rFonts w:hint="eastAsia" w:ascii="仿宋" w:hAnsi="仿宋" w:eastAsia="仿宋" w:cs="仿宋"/>
          <w:sz w:val="32"/>
          <w:szCs w:val="32"/>
        </w:rPr>
        <w:t>供应商，</w:t>
      </w:r>
      <w:r>
        <w:rPr>
          <w:rFonts w:hint="eastAsia" w:ascii="仿宋" w:hAnsi="仿宋" w:eastAsia="仿宋" w:cs="仿宋"/>
          <w:sz w:val="32"/>
          <w:szCs w:val="32"/>
          <w:lang w:val="en-US" w:eastAsia="zh-CN"/>
        </w:rPr>
        <w:t>经采购人审核批准后电话告知</w:t>
      </w:r>
      <w:r>
        <w:rPr>
          <w:rFonts w:hint="eastAsia" w:ascii="仿宋" w:hAnsi="仿宋" w:eastAsia="仿宋" w:cs="仿宋"/>
          <w:sz w:val="32"/>
          <w:szCs w:val="32"/>
        </w:rPr>
        <w:t>评审结果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不再进行网站公示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w:t>
      </w:r>
      <w:r>
        <w:rPr>
          <w:rFonts w:hint="eastAsia" w:ascii="仿宋" w:hAnsi="仿宋" w:eastAsia="仿宋" w:cs="仿宋"/>
          <w:sz w:val="32"/>
          <w:szCs w:val="32"/>
          <w:lang w:val="en-US" w:eastAsia="zh-CN"/>
        </w:rPr>
        <w:t xml:space="preserve">非一次性报价。投标人所报价格应为含税全包价，包含提供相关服务等的所有费用，合同存续期间采购人不额外支付任何费用。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本次采购</w:t>
      </w:r>
      <w:r>
        <w:rPr>
          <w:rFonts w:hint="eastAsia" w:ascii="仿宋" w:hAnsi="仿宋" w:eastAsia="仿宋" w:cs="仿宋"/>
          <w:sz w:val="32"/>
          <w:szCs w:val="32"/>
          <w:lang w:eastAsia="zh-CN"/>
        </w:rPr>
        <w:t>，</w:t>
      </w:r>
      <w:r>
        <w:rPr>
          <w:rFonts w:hint="eastAsia" w:ascii="仿宋" w:hAnsi="仿宋" w:eastAsia="仿宋" w:cs="仿宋"/>
          <w:sz w:val="32"/>
          <w:szCs w:val="32"/>
        </w:rPr>
        <w:t>我院可根据市场</w:t>
      </w:r>
      <w:r>
        <w:rPr>
          <w:rFonts w:hint="eastAsia" w:ascii="仿宋" w:hAnsi="仿宋" w:eastAsia="仿宋" w:cs="仿宋"/>
          <w:sz w:val="32"/>
          <w:szCs w:val="32"/>
          <w:lang w:val="en-US" w:eastAsia="zh-CN"/>
        </w:rPr>
        <w:t>调研</w:t>
      </w:r>
      <w:r>
        <w:rPr>
          <w:rFonts w:hint="eastAsia" w:ascii="仿宋" w:hAnsi="仿宋" w:eastAsia="仿宋" w:cs="仿宋"/>
          <w:sz w:val="32"/>
          <w:szCs w:val="32"/>
        </w:rPr>
        <w:t>情况对结果进行对比，如有异常情况，可以暂停采购活动。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1" w:name="_Toc18377"/>
      <w:r>
        <w:rPr>
          <w:rFonts w:hint="eastAsia" w:ascii="黑体" w:hAnsi="黑体" w:eastAsia="黑体" w:cs="黑体"/>
          <w:sz w:val="32"/>
          <w:szCs w:val="32"/>
          <w:lang w:val="en-US" w:eastAsia="zh-CN"/>
        </w:rPr>
        <w:t>二、项目名称及编号</w:t>
      </w:r>
      <w:bookmarkEnd w:id="11"/>
    </w:p>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600" w:firstLineChars="200"/>
        <w:jc w:val="left"/>
        <w:textAlignment w:val="baseline"/>
        <w:rPr>
          <w:rFonts w:hint="default"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0"/>
          <w:szCs w:val="30"/>
          <w:lang w:val="en-US" w:eastAsia="zh-CN" w:bidi="ar"/>
        </w:rPr>
        <w:t>项目名称：</w:t>
      </w:r>
      <w:r>
        <w:rPr>
          <w:rFonts w:hint="eastAsia" w:ascii="仿宋" w:hAnsi="仿宋" w:eastAsia="仿宋" w:cs="仿宋"/>
          <w:snapToGrid w:val="0"/>
          <w:color w:val="000000"/>
          <w:kern w:val="0"/>
          <w:sz w:val="32"/>
          <w:szCs w:val="32"/>
          <w:lang w:val="en-US" w:eastAsia="zh-CN" w:bidi="ar"/>
        </w:rPr>
        <w:t>山东省第二康复医院住院楼钢质防火门更换项目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项目编号：SDSDEKFYY2023010</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采 购 人：山东省第二康复医院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2" w:name="_Toc4749"/>
      <w:r>
        <w:rPr>
          <w:rFonts w:hint="eastAsia" w:ascii="黑体" w:hAnsi="黑体" w:eastAsia="黑体" w:cs="黑体"/>
          <w:sz w:val="32"/>
          <w:szCs w:val="32"/>
          <w:lang w:val="en-US" w:eastAsia="zh-CN"/>
        </w:rPr>
        <w:t>采购</w:t>
      </w:r>
      <w:bookmarkEnd w:id="12"/>
      <w:r>
        <w:rPr>
          <w:rFonts w:hint="eastAsia" w:ascii="黑体" w:hAnsi="黑体" w:eastAsia="黑体" w:cs="黑体"/>
          <w:sz w:val="32"/>
          <w:szCs w:val="32"/>
          <w:lang w:val="en-US" w:eastAsia="zh-CN"/>
        </w:rPr>
        <w:t>内容及要求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ind w:firstLine="640" w:firstLineChars="200"/>
        <w:textAlignment w:val="auto"/>
        <w:rPr>
          <w:rFonts w:hint="default" w:ascii="楷体" w:hAnsi="楷体" w:eastAsia="楷体" w:cs="楷体"/>
          <w:kern w:val="2"/>
          <w:sz w:val="32"/>
          <w:szCs w:val="32"/>
          <w:lang w:val="en-US" w:eastAsia="zh-CN" w:bidi="ar-SA"/>
        </w:rPr>
      </w:pPr>
      <w:r>
        <w:rPr>
          <w:rFonts w:hint="eastAsia" w:ascii="楷体" w:hAnsi="楷体" w:eastAsia="楷体" w:cs="楷体"/>
          <w:kern w:val="2"/>
          <w:sz w:val="32"/>
          <w:szCs w:val="32"/>
          <w:lang w:val="en-US" w:eastAsia="zh-CN" w:bidi="ar-SA"/>
        </w:rPr>
        <w:t>（一）采购内容</w:t>
      </w:r>
    </w:p>
    <w:tbl>
      <w:tblPr>
        <w:tblStyle w:val="8"/>
        <w:tblW w:w="492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0" w:type="dxa"/>
          <w:bottom w:w="0" w:type="dxa"/>
          <w:right w:w="0" w:type="dxa"/>
        </w:tblCellMar>
      </w:tblPr>
      <w:tblGrid>
        <w:gridCol w:w="1906"/>
        <w:gridCol w:w="2159"/>
        <w:gridCol w:w="41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838" w:hRule="atLeast"/>
          <w:jc w:val="center"/>
        </w:trPr>
        <w:tc>
          <w:tcPr>
            <w:tcW w:w="11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名称</w:t>
            </w:r>
          </w:p>
        </w:tc>
        <w:tc>
          <w:tcPr>
            <w:tcW w:w="1318"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面积</w:t>
            </w:r>
          </w:p>
        </w:tc>
        <w:tc>
          <w:tcPr>
            <w:tcW w:w="2517"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内容概况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1661" w:hRule="atLeast"/>
          <w:jc w:val="center"/>
        </w:trPr>
        <w:tc>
          <w:tcPr>
            <w:tcW w:w="1164"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山东省第二康复医院住院楼钢质</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防火门更换项目</w:t>
            </w:r>
          </w:p>
        </w:tc>
        <w:tc>
          <w:tcPr>
            <w:tcW w:w="1318"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约100m</w:t>
            </w:r>
            <w:r>
              <w:rPr>
                <w:rFonts w:hint="eastAsia" w:ascii="仿宋" w:hAnsi="仿宋" w:eastAsia="仿宋" w:cs="仿宋"/>
                <w:snapToGrid w:val="0"/>
                <w:color w:val="000000"/>
                <w:kern w:val="0"/>
                <w:sz w:val="24"/>
                <w:szCs w:val="24"/>
                <w:vertAlign w:val="superscript"/>
                <w:lang w:val="en-US" w:eastAsia="zh-CN" w:bidi="ar"/>
              </w:rPr>
              <w:t>2</w:t>
            </w:r>
          </w:p>
        </w:tc>
        <w:tc>
          <w:tcPr>
            <w:tcW w:w="2517"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eastAsia"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病房楼部分破损的甲级、乙级防火门拆除</w:t>
            </w:r>
            <w:r>
              <w:rPr>
                <w:rFonts w:hint="eastAsia" w:ascii="仿宋" w:hAnsi="仿宋" w:eastAsia="仿宋" w:cs="仿宋"/>
                <w:snapToGrid w:val="0"/>
                <w:color w:val="000000"/>
                <w:kern w:val="0"/>
                <w:sz w:val="24"/>
                <w:szCs w:val="24"/>
                <w:lang w:val="en-US" w:eastAsia="zh-CN" w:bidi="ar"/>
              </w:rPr>
              <w:t>；</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制作</w:t>
            </w:r>
            <w:r>
              <w:rPr>
                <w:rFonts w:hint="eastAsia" w:ascii="仿宋" w:hAnsi="仿宋" w:eastAsia="仿宋" w:cs="仿宋"/>
                <w:snapToGrid w:val="0"/>
                <w:color w:val="000000"/>
                <w:kern w:val="0"/>
                <w:sz w:val="24"/>
                <w:szCs w:val="24"/>
                <w:lang w:val="en-US" w:eastAsia="zh-CN" w:bidi="ar"/>
              </w:rPr>
              <w:t>并</w:t>
            </w:r>
            <w:r>
              <w:rPr>
                <w:rFonts w:hint="default" w:ascii="仿宋" w:hAnsi="仿宋" w:eastAsia="仿宋" w:cs="仿宋"/>
                <w:snapToGrid w:val="0"/>
                <w:color w:val="000000"/>
                <w:kern w:val="0"/>
                <w:sz w:val="24"/>
                <w:szCs w:val="24"/>
                <w:lang w:val="en-US" w:eastAsia="zh-CN" w:bidi="ar"/>
              </w:rPr>
              <w:t>安装钢制防火门</w:t>
            </w:r>
            <w:r>
              <w:rPr>
                <w:rFonts w:hint="eastAsia" w:ascii="仿宋" w:hAnsi="仿宋" w:eastAsia="仿宋" w:cs="仿宋"/>
                <w:snapToGrid w:val="0"/>
                <w:color w:val="000000"/>
                <w:kern w:val="0"/>
                <w:sz w:val="24"/>
                <w:szCs w:val="24"/>
                <w:lang w:val="en-US" w:eastAsia="zh-CN" w:bidi="ar"/>
              </w:rPr>
              <w:t>；</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修复因</w:t>
            </w:r>
            <w:r>
              <w:rPr>
                <w:rFonts w:hint="eastAsia" w:ascii="仿宋" w:hAnsi="仿宋" w:eastAsia="仿宋" w:cs="仿宋"/>
                <w:snapToGrid w:val="0"/>
                <w:color w:val="000000"/>
                <w:kern w:val="0"/>
                <w:sz w:val="24"/>
                <w:szCs w:val="24"/>
                <w:lang w:val="en-US" w:eastAsia="zh-CN" w:bidi="ar"/>
              </w:rPr>
              <w:t>以上</w:t>
            </w:r>
            <w:r>
              <w:rPr>
                <w:rFonts w:hint="default" w:ascii="仿宋" w:hAnsi="仿宋" w:eastAsia="仿宋" w:cs="仿宋"/>
                <w:snapToGrid w:val="0"/>
                <w:color w:val="000000"/>
                <w:kern w:val="0"/>
                <w:sz w:val="24"/>
                <w:szCs w:val="24"/>
                <w:lang w:val="en-US" w:eastAsia="zh-CN" w:bidi="ar"/>
              </w:rPr>
              <w:t>施工造成的装修破损</w:t>
            </w:r>
            <w:r>
              <w:rPr>
                <w:rFonts w:hint="eastAsia" w:ascii="仿宋" w:hAnsi="仿宋" w:eastAsia="仿宋" w:cs="仿宋"/>
                <w:snapToGrid w:val="0"/>
                <w:color w:val="000000"/>
                <w:kern w:val="0"/>
                <w:sz w:val="24"/>
                <w:szCs w:val="24"/>
                <w:lang w:val="en-US" w:eastAsia="zh-CN" w:bidi="ar"/>
              </w:rPr>
              <w:t>，包括相关设备、部件的安装复位</w:t>
            </w:r>
            <w:r>
              <w:rPr>
                <w:rFonts w:hint="default" w:ascii="仿宋" w:hAnsi="仿宋" w:eastAsia="仿宋" w:cs="仿宋"/>
                <w:snapToGrid w:val="0"/>
                <w:color w:val="000000"/>
                <w:kern w:val="0"/>
                <w:sz w:val="24"/>
                <w:szCs w:val="24"/>
                <w:lang w:val="en-US" w:eastAsia="zh-CN" w:bidi="ar"/>
              </w:rPr>
              <w:t>。</w:t>
            </w:r>
          </w:p>
          <w:p>
            <w:pPr>
              <w:keepNext w:val="0"/>
              <w:keepLines w:val="0"/>
              <w:pageBreakBefore w:val="0"/>
              <w:widowControl/>
              <w:numPr>
                <w:ilvl w:val="0"/>
                <w:numId w:val="2"/>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清运处理因以上施工产生的垃圾以及替换下来的废旧木门等。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446" w:hRule="atLeast"/>
          <w:jc w:val="center"/>
        </w:trPr>
        <w:tc>
          <w:tcPr>
            <w:tcW w:w="5000" w:type="pct"/>
            <w:gridSpan w:val="3"/>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280" w:lineRule="exact"/>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质保期：本项目质保期不低于三年，自验收合格之日起计算。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446" w:hRule="atLeast"/>
          <w:jc w:val="center"/>
        </w:trPr>
        <w:tc>
          <w:tcPr>
            <w:tcW w:w="5000" w:type="pct"/>
            <w:gridSpan w:val="3"/>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280" w:lineRule="exact"/>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付款：</w:t>
            </w:r>
            <w:r>
              <w:rPr>
                <w:rFonts w:ascii="仿宋_GB2312" w:hAnsi="宋体" w:eastAsia="仿宋_GB2312" w:cs="黑体"/>
                <w:kern w:val="0"/>
                <w:sz w:val="24"/>
                <w:szCs w:val="24"/>
              </w:rPr>
              <w:t>工程竣工</w:t>
            </w:r>
            <w:r>
              <w:rPr>
                <w:rFonts w:hint="eastAsia" w:ascii="仿宋_GB2312" w:hAnsi="宋体" w:eastAsia="仿宋_GB2312" w:cs="黑体"/>
                <w:kern w:val="0"/>
                <w:sz w:val="24"/>
                <w:szCs w:val="24"/>
                <w:lang w:val="en-US" w:eastAsia="zh-CN"/>
              </w:rPr>
              <w:t>且</w:t>
            </w:r>
            <w:r>
              <w:rPr>
                <w:rFonts w:ascii="仿宋_GB2312" w:hAnsi="宋体" w:eastAsia="仿宋_GB2312" w:cs="黑体"/>
                <w:kern w:val="0"/>
                <w:sz w:val="24"/>
                <w:szCs w:val="24"/>
              </w:rPr>
              <w:t>验收合格后支付至审计金额的95%，剩余5%为质保金，质保期满若无质量问题一次性支付。乙方须提前出具等额正式发票。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446" w:hRule="atLeast"/>
          <w:jc w:val="center"/>
        </w:trPr>
        <w:tc>
          <w:tcPr>
            <w:tcW w:w="5000" w:type="pct"/>
            <w:gridSpan w:val="3"/>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280" w:lineRule="exact"/>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_GB2312" w:hAnsi="仿宋" w:eastAsia="仿宋_GB2312"/>
                <w:sz w:val="24"/>
                <w:szCs w:val="24"/>
                <w:lang w:val="en-US" w:eastAsia="zh-CN"/>
              </w:rPr>
              <w:t>报价方式：</w:t>
            </w:r>
            <w:r>
              <w:rPr>
                <w:rFonts w:ascii="仿宋_GB2312" w:hAnsi="仿宋" w:eastAsia="仿宋_GB2312"/>
                <w:sz w:val="24"/>
                <w:szCs w:val="24"/>
                <w:lang w:val="zh-CN"/>
              </w:rPr>
              <w:t>单价包干合同，完工后据实结算。</w:t>
            </w:r>
          </w:p>
        </w:tc>
      </w:tr>
    </w:tbl>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jc w:val="left"/>
        <w:textAlignment w:val="baseline"/>
        <w:rPr>
          <w:rFonts w:ascii="仿宋_GB2312" w:hAnsi="仿宋" w:eastAsia="仿宋_GB2312"/>
          <w:sz w:val="24"/>
          <w:szCs w:val="24"/>
          <w:lang w:val="zh-CN"/>
        </w:rPr>
        <w:sectPr>
          <w:footerReference r:id="rId3" w:type="default"/>
          <w:pgSz w:w="11906" w:h="16838"/>
          <w:pgMar w:top="1440" w:right="1800" w:bottom="1440" w:left="1800" w:header="851" w:footer="992" w:gutter="0"/>
          <w:pgNumType w:fmt="numberInDash" w:start="1"/>
          <w:cols w:space="425" w:num="1"/>
          <w:docGrid w:type="lines" w:linePitch="312" w:charSpace="0"/>
        </w:sectPr>
      </w:pPr>
    </w:p>
    <w:tbl>
      <w:tblPr>
        <w:tblStyle w:val="8"/>
        <w:tblW w:w="492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0" w:type="dxa"/>
          <w:bottom w:w="0" w:type="dxa"/>
          <w:right w:w="0" w:type="dxa"/>
        </w:tblCellMar>
      </w:tblPr>
      <w:tblGrid>
        <w:gridCol w:w="81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rHeight w:val="446" w:hRule="atLeast"/>
          <w:jc w:val="center"/>
        </w:trPr>
        <w:tc>
          <w:tcPr>
            <w:tcW w:w="5000"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280" w:lineRule="exact"/>
              <w:jc w:val="left"/>
              <w:textAlignment w:val="baseline"/>
              <w:rPr>
                <w:rFonts w:hint="eastAsia" w:ascii="仿宋_GB2312" w:hAnsi="仿宋" w:eastAsia="仿宋_GB2312"/>
                <w:sz w:val="24"/>
                <w:szCs w:val="24"/>
                <w:lang w:val="en-US" w:eastAsia="zh-CN"/>
              </w:rPr>
            </w:pPr>
            <w:r>
              <w:rPr>
                <w:rFonts w:ascii="仿宋_GB2312" w:hAnsi="仿宋" w:eastAsia="仿宋_GB2312"/>
                <w:sz w:val="24"/>
                <w:szCs w:val="24"/>
                <w:lang w:val="zh-CN"/>
              </w:rPr>
              <w:t>评审办法</w:t>
            </w:r>
            <w:r>
              <w:rPr>
                <w:rFonts w:hint="eastAsia" w:ascii="仿宋_GB2312" w:hAnsi="仿宋" w:eastAsia="仿宋_GB2312"/>
                <w:sz w:val="24"/>
                <w:szCs w:val="24"/>
                <w:lang w:val="zh-CN"/>
              </w:rPr>
              <w:t>：</w:t>
            </w:r>
            <w:r>
              <w:rPr>
                <w:rFonts w:ascii="仿宋_GB2312" w:hAnsi="宋体" w:eastAsia="仿宋_GB2312" w:cs="黑体"/>
                <w:kern w:val="0"/>
                <w:sz w:val="24"/>
                <w:szCs w:val="24"/>
              </w:rPr>
              <w:t>综合评分法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446" w:hRule="atLeast"/>
          <w:jc w:val="center"/>
        </w:trPr>
        <w:tc>
          <w:tcPr>
            <w:tcW w:w="5000" w:type="pc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280" w:lineRule="exact"/>
              <w:jc w:val="left"/>
              <w:textAlignment w:val="baseline"/>
              <w:rPr>
                <w:rFonts w:ascii="仿宋_GB2312" w:hAnsi="仿宋" w:eastAsia="仿宋_GB2312"/>
                <w:sz w:val="24"/>
                <w:szCs w:val="24"/>
                <w:lang w:val="zh-CN"/>
              </w:rPr>
            </w:pPr>
            <w:r>
              <w:rPr>
                <w:rFonts w:ascii="仿宋_GB2312" w:hAnsi="仿宋" w:eastAsia="仿宋_GB2312"/>
                <w:sz w:val="24"/>
                <w:szCs w:val="24"/>
                <w:lang w:val="zh-CN"/>
              </w:rPr>
              <w:t>踏勘现场</w:t>
            </w:r>
            <w:r>
              <w:rPr>
                <w:rFonts w:hint="eastAsia" w:ascii="仿宋_GB2312" w:hAnsi="仿宋" w:eastAsia="仿宋_GB2312"/>
                <w:sz w:val="24"/>
                <w:szCs w:val="24"/>
                <w:lang w:val="zh-CN"/>
              </w:rPr>
              <w:t>：</w:t>
            </w:r>
            <w:r>
              <w:rPr>
                <w:rFonts w:ascii="仿宋_GB2312" w:hAnsi="仿宋" w:eastAsia="仿宋_GB2312"/>
                <w:sz w:val="24"/>
                <w:szCs w:val="24"/>
                <w:lang w:val="zh-CN"/>
              </w:rPr>
              <w:t>不组织，自行踏勘。</w:t>
            </w:r>
            <w:r>
              <w:rPr>
                <w:rFonts w:ascii="仿宋_GB2312" w:hAnsi="仿宋" w:eastAsia="仿宋_GB2312"/>
                <w:sz w:val="24"/>
                <w:lang w:val="zh-CN"/>
              </w:rPr>
              <w:t>供应商承担踏勘现场所发生的自身费用、责任和风险。除采购人原因外，供应商应对踏勘现场而造成的人员伤亡、财产损失以及由此引起的连带责任和费用负责。</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bookmarkStart w:id="13" w:name="_Toc23449"/>
      <w:r>
        <w:rPr>
          <w:rFonts w:hint="eastAsia" w:ascii="楷体" w:hAnsi="楷体" w:eastAsia="楷体" w:cs="楷体"/>
          <w:sz w:val="32"/>
          <w:szCs w:val="32"/>
          <w:lang w:val="en-US" w:eastAsia="zh-CN"/>
        </w:rPr>
        <w:t>钢质防火门技术要求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1.</w:t>
      </w:r>
      <w:r>
        <w:rPr>
          <w:rFonts w:hint="default" w:ascii="仿宋" w:hAnsi="仿宋" w:eastAsia="仿宋" w:cs="仿宋"/>
          <w:snapToGrid w:val="0"/>
          <w:color w:val="000000"/>
          <w:kern w:val="0"/>
          <w:sz w:val="30"/>
          <w:szCs w:val="30"/>
          <w:lang w:val="en-US" w:eastAsia="zh-CN" w:bidi="ar"/>
        </w:rPr>
        <w:t>钢质防火门一般要求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1.1</w:t>
      </w:r>
      <w:r>
        <w:rPr>
          <w:rFonts w:hint="default" w:ascii="仿宋" w:hAnsi="仿宋" w:eastAsia="仿宋" w:cs="仿宋"/>
          <w:snapToGrid w:val="0"/>
          <w:color w:val="000000"/>
          <w:kern w:val="0"/>
          <w:sz w:val="30"/>
          <w:szCs w:val="30"/>
          <w:lang w:val="en-US" w:eastAsia="zh-CN" w:bidi="ar"/>
        </w:rPr>
        <w:t>防火门应按规定现场情况及技术文件制造；</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1.2</w:t>
      </w:r>
      <w:r>
        <w:rPr>
          <w:rFonts w:hint="default" w:ascii="仿宋" w:hAnsi="仿宋" w:eastAsia="仿宋" w:cs="仿宋"/>
          <w:snapToGrid w:val="0"/>
          <w:color w:val="000000"/>
          <w:kern w:val="0"/>
          <w:sz w:val="30"/>
          <w:szCs w:val="30"/>
          <w:lang w:val="en-US" w:eastAsia="zh-CN" w:bidi="ar"/>
        </w:rPr>
        <w:t>钢材材质符合L13J4-2及国家现行规范及标准防火门钢材的要求。必须保证产品质量符合国家规范要求检测合格标准，安装质量达到行业合格标准；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1.3</w:t>
      </w:r>
      <w:r>
        <w:rPr>
          <w:rFonts w:hint="default" w:ascii="仿宋" w:hAnsi="仿宋" w:eastAsia="仿宋" w:cs="仿宋"/>
          <w:snapToGrid w:val="0"/>
          <w:color w:val="000000"/>
          <w:kern w:val="0"/>
          <w:sz w:val="30"/>
          <w:szCs w:val="30"/>
          <w:lang w:val="en-US" w:eastAsia="zh-CN" w:bidi="ar"/>
        </w:rPr>
        <w:t>钢质防火门样式和颜色成交后应由采购人指定或与采购人商定；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1.4</w:t>
      </w:r>
      <w:r>
        <w:rPr>
          <w:rFonts w:hint="default" w:ascii="仿宋" w:hAnsi="仿宋" w:eastAsia="仿宋" w:cs="仿宋"/>
          <w:snapToGrid w:val="0"/>
          <w:color w:val="000000"/>
          <w:kern w:val="0"/>
          <w:sz w:val="30"/>
          <w:szCs w:val="30"/>
          <w:lang w:val="en-US" w:eastAsia="zh-CN" w:bidi="ar"/>
        </w:rPr>
        <w:t>产品质量应同时符合以下国家标准,并符合相关行业标准和地方规范；</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GB12955-2008《钢质防火门通用技术条件》；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JG/T495-2016《钢门窗粉末静电喷涂涂层技术条件》；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GB50210-2018《建筑装饰装修工程质量验收标准》。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w:t>
      </w:r>
      <w:r>
        <w:rPr>
          <w:rFonts w:hint="default" w:ascii="仿宋" w:hAnsi="仿宋" w:eastAsia="仿宋" w:cs="仿宋"/>
          <w:snapToGrid w:val="0"/>
          <w:color w:val="000000"/>
          <w:kern w:val="0"/>
          <w:sz w:val="30"/>
          <w:szCs w:val="30"/>
          <w:lang w:val="en-US" w:eastAsia="zh-CN" w:bidi="ar"/>
        </w:rPr>
        <w:t>钢质防火门材料要求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2.1</w:t>
      </w:r>
      <w:r>
        <w:rPr>
          <w:rFonts w:hint="default" w:ascii="仿宋" w:hAnsi="仿宋" w:eastAsia="仿宋" w:cs="仿宋"/>
          <w:snapToGrid w:val="0"/>
          <w:color w:val="000000"/>
          <w:kern w:val="0"/>
          <w:sz w:val="30"/>
          <w:szCs w:val="30"/>
          <w:lang w:val="en-US" w:eastAsia="zh-CN" w:bidi="ar"/>
        </w:rPr>
        <w:t>填充材料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防火门的门扇内应填充对人体无毒无害的防火隔热材料；防火隔热材料应经国家认可授权检测机构检验达到GB 8624-2006规定燃烧性能A1级要求和GB/T 20285-2006规定产烟毒性危险分级ZA2级要求的合格产品。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w:t>
      </w:r>
      <w:r>
        <w:rPr>
          <w:rFonts w:hint="default" w:ascii="仿宋" w:hAnsi="仿宋" w:eastAsia="仿宋" w:cs="仿宋"/>
          <w:snapToGrid w:val="0"/>
          <w:color w:val="000000"/>
          <w:kern w:val="0"/>
          <w:sz w:val="30"/>
          <w:szCs w:val="30"/>
          <w:lang w:val="en-US" w:eastAsia="zh-CN" w:bidi="ar"/>
        </w:rPr>
        <w:t>钢材</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2.2.1</w:t>
      </w:r>
      <w:r>
        <w:rPr>
          <w:rFonts w:hint="default" w:ascii="仿宋" w:hAnsi="仿宋" w:eastAsia="仿宋" w:cs="仿宋"/>
          <w:snapToGrid w:val="0"/>
          <w:color w:val="000000"/>
          <w:kern w:val="0"/>
          <w:sz w:val="30"/>
          <w:szCs w:val="30"/>
          <w:lang w:val="en-US" w:eastAsia="zh-CN" w:bidi="ar"/>
        </w:rPr>
        <w:t>材质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2.2.1.1</w:t>
      </w:r>
      <w:r>
        <w:rPr>
          <w:rFonts w:hint="default" w:ascii="仿宋" w:hAnsi="仿宋" w:eastAsia="仿宋" w:cs="仿宋"/>
          <w:snapToGrid w:val="0"/>
          <w:color w:val="000000"/>
          <w:kern w:val="0"/>
          <w:sz w:val="30"/>
          <w:szCs w:val="30"/>
          <w:lang w:val="en-US" w:eastAsia="zh-CN" w:bidi="ar"/>
        </w:rPr>
        <w:t xml:space="preserve"> 防火门框、门扇面板应采用性能不低于冷轧薄钢板的钢质材料，冷轧薄钢板应符合GB/T 708的规定；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2.2.1.2</w:t>
      </w:r>
      <w:r>
        <w:rPr>
          <w:rFonts w:hint="default" w:ascii="仿宋" w:hAnsi="仿宋" w:eastAsia="仿宋" w:cs="仿宋"/>
          <w:snapToGrid w:val="0"/>
          <w:color w:val="000000"/>
          <w:kern w:val="0"/>
          <w:sz w:val="30"/>
          <w:szCs w:val="30"/>
          <w:lang w:val="en-US" w:eastAsia="zh-CN" w:bidi="ar"/>
        </w:rPr>
        <w:t>防火门所用加固件可采用性能不低于热轧钢材的钢质材料，热轧钢材应符合GB/T 709的规定。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2.2</w:t>
      </w:r>
      <w:r>
        <w:rPr>
          <w:rFonts w:hint="eastAsia" w:ascii="仿宋" w:hAnsi="仿宋" w:eastAsia="仿宋" w:cs="仿宋"/>
          <w:snapToGrid w:val="0"/>
          <w:color w:val="000000"/>
          <w:kern w:val="0"/>
          <w:sz w:val="30"/>
          <w:szCs w:val="30"/>
          <w:lang w:val="en-US" w:eastAsia="zh-CN" w:bidi="ar"/>
        </w:rPr>
        <w:t>.2</w:t>
      </w:r>
      <w:r>
        <w:rPr>
          <w:rFonts w:hint="default" w:ascii="仿宋" w:hAnsi="仿宋" w:eastAsia="仿宋" w:cs="仿宋"/>
          <w:snapToGrid w:val="0"/>
          <w:color w:val="000000"/>
          <w:kern w:val="0"/>
          <w:sz w:val="30"/>
          <w:szCs w:val="30"/>
          <w:lang w:val="en-US" w:eastAsia="zh-CN" w:bidi="ar"/>
        </w:rPr>
        <w:t>材料厚度</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防火门所用钢质材料厚度应符合表1的规定。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jc w:val="center"/>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表1 钢制材料厚度</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889"/>
        <w:gridCol w:w="463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部位名称</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材料厚度（mm）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门扇内外钢板</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门框板</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铰链板</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不带螺孔的加固件</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88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带螺孔的加固件</w:t>
            </w:r>
          </w:p>
        </w:tc>
        <w:tc>
          <w:tcPr>
            <w:tcW w:w="463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2"/>
                <w:szCs w:val="22"/>
                <w:lang w:val="en-US" w:eastAsia="zh-CN" w:bidi="ar"/>
              </w:rPr>
            </w:pPr>
            <w:r>
              <w:rPr>
                <w:rFonts w:hint="default" w:ascii="仿宋" w:hAnsi="仿宋" w:eastAsia="仿宋" w:cs="仿宋"/>
                <w:snapToGrid w:val="0"/>
                <w:color w:val="000000"/>
                <w:kern w:val="0"/>
                <w:sz w:val="22"/>
                <w:szCs w:val="22"/>
                <w:lang w:val="en-US" w:eastAsia="zh-CN" w:bidi="ar"/>
              </w:rPr>
              <w:t>≥3.0</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2.3</w:t>
      </w:r>
      <w:r>
        <w:rPr>
          <w:rFonts w:hint="default" w:ascii="仿宋" w:hAnsi="仿宋" w:eastAsia="仿宋" w:cs="仿宋"/>
          <w:snapToGrid w:val="0"/>
          <w:color w:val="000000"/>
          <w:kern w:val="0"/>
          <w:sz w:val="30"/>
          <w:szCs w:val="30"/>
          <w:lang w:val="en-US" w:eastAsia="zh-CN" w:bidi="ar"/>
        </w:rPr>
        <w:t>其他材质材料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2.2.3.1</w:t>
      </w:r>
      <w:r>
        <w:rPr>
          <w:rFonts w:hint="default" w:ascii="仿宋" w:hAnsi="仿宋" w:eastAsia="仿宋" w:cs="仿宋"/>
          <w:snapToGrid w:val="0"/>
          <w:color w:val="000000"/>
          <w:kern w:val="0"/>
          <w:sz w:val="30"/>
          <w:szCs w:val="30"/>
          <w:lang w:val="en-US" w:eastAsia="zh-CN" w:bidi="ar"/>
        </w:rPr>
        <w:t xml:space="preserve"> 防火门所用其他材质材料应对人体无毒无害，应经国家认可授权检测机构检验达到GB/T 20285规定产烟毒性危险分级ZA2级要求的合格产品；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2.2.3.2</w:t>
      </w:r>
      <w:r>
        <w:rPr>
          <w:rFonts w:hint="default" w:ascii="仿宋" w:hAnsi="仿宋" w:eastAsia="仿宋" w:cs="仿宋"/>
          <w:snapToGrid w:val="0"/>
          <w:color w:val="000000"/>
          <w:kern w:val="0"/>
          <w:sz w:val="30"/>
          <w:szCs w:val="30"/>
          <w:lang w:val="en-US" w:eastAsia="zh-CN" w:bidi="ar"/>
        </w:rPr>
        <w:t xml:space="preserve">防火门所用其他材质材料应经国家认可授权检测机构检验达到GB/T 8625-2005第7章规定难燃性要求或GB 8624规定燃烧性能A1级要求的合格产品，其力学性能应达到有关标准的相关规定并满足制作防火门的有关要求。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w:t>
      </w:r>
      <w:r>
        <w:rPr>
          <w:rFonts w:hint="default" w:ascii="仿宋" w:hAnsi="仿宋" w:eastAsia="仿宋" w:cs="仿宋"/>
          <w:snapToGrid w:val="0"/>
          <w:color w:val="000000"/>
          <w:kern w:val="0"/>
          <w:sz w:val="30"/>
          <w:szCs w:val="30"/>
          <w:lang w:val="en-US" w:eastAsia="zh-CN" w:bidi="ar"/>
        </w:rPr>
        <w:t>4粘结剂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w:t>
      </w:r>
      <w:r>
        <w:rPr>
          <w:rFonts w:hint="default" w:ascii="仿宋" w:hAnsi="仿宋" w:eastAsia="仿宋" w:cs="仿宋"/>
          <w:snapToGrid w:val="0"/>
          <w:color w:val="000000"/>
          <w:kern w:val="0"/>
          <w:sz w:val="30"/>
          <w:szCs w:val="30"/>
          <w:lang w:val="en-US" w:eastAsia="zh-CN" w:bidi="ar"/>
        </w:rPr>
        <w:t>4.1防火门所用粘结剂应是对人体无毒无害的产品；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w:t>
      </w:r>
      <w:r>
        <w:rPr>
          <w:rFonts w:hint="default" w:ascii="仿宋" w:hAnsi="仿宋" w:eastAsia="仿宋" w:cs="仿宋"/>
          <w:snapToGrid w:val="0"/>
          <w:color w:val="000000"/>
          <w:kern w:val="0"/>
          <w:sz w:val="30"/>
          <w:szCs w:val="30"/>
          <w:lang w:val="en-US" w:eastAsia="zh-CN" w:bidi="ar"/>
        </w:rPr>
        <w:t>4.2防火门所用粘结剂应经国家认可授权检测机构检验达到GB/T 20285规定产烟毒性危险分级ZA2级要求的合格产品。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2.5</w:t>
      </w:r>
      <w:r>
        <w:rPr>
          <w:rFonts w:hint="default" w:ascii="仿宋" w:hAnsi="仿宋" w:eastAsia="仿宋" w:cs="仿宋"/>
          <w:snapToGrid w:val="0"/>
          <w:color w:val="000000"/>
          <w:kern w:val="0"/>
          <w:sz w:val="30"/>
          <w:szCs w:val="30"/>
          <w:lang w:val="en-US" w:eastAsia="zh-CN" w:bidi="ar"/>
        </w:rPr>
        <w:t>门扇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2.5.1</w:t>
      </w:r>
      <w:r>
        <w:rPr>
          <w:rFonts w:hint="default" w:ascii="仿宋" w:hAnsi="仿宋" w:eastAsia="仿宋" w:cs="仿宋"/>
          <w:snapToGrid w:val="0"/>
          <w:color w:val="000000"/>
          <w:kern w:val="0"/>
          <w:sz w:val="30"/>
          <w:szCs w:val="30"/>
          <w:lang w:val="en-US" w:eastAsia="zh-CN" w:bidi="ar"/>
        </w:rPr>
        <w:t xml:space="preserve">门扇内部应填充对人体无毒无害的防火隔热材料，门框与门扇之间、双开门的门扇之间应设防火膨胀条；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2.5.2</w:t>
      </w:r>
      <w:r>
        <w:rPr>
          <w:rFonts w:hint="default" w:ascii="仿宋" w:hAnsi="仿宋" w:eastAsia="仿宋" w:cs="仿宋"/>
          <w:snapToGrid w:val="0"/>
          <w:color w:val="000000"/>
          <w:kern w:val="0"/>
          <w:sz w:val="30"/>
          <w:szCs w:val="30"/>
          <w:lang w:val="en-US" w:eastAsia="zh-CN" w:bidi="ar"/>
        </w:rPr>
        <w:t>门体构造：门扇设计厚度（不小于检验报告的厚度），门扇的内外门板和骨架应相互咬合、连接牢固。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w:t>
      </w:r>
      <w:r>
        <w:rPr>
          <w:rFonts w:hint="eastAsia" w:ascii="仿宋" w:hAnsi="仿宋" w:eastAsia="仿宋" w:cs="仿宋"/>
          <w:snapToGrid w:val="0"/>
          <w:color w:val="000000"/>
          <w:kern w:val="0"/>
          <w:sz w:val="30"/>
          <w:szCs w:val="30"/>
          <w:lang w:val="en-US" w:eastAsia="zh-CN" w:bidi="ar"/>
        </w:rPr>
        <w:t>2.6</w:t>
      </w:r>
      <w:r>
        <w:rPr>
          <w:rFonts w:hint="default" w:ascii="仿宋" w:hAnsi="仿宋" w:eastAsia="仿宋" w:cs="仿宋"/>
          <w:snapToGrid w:val="0"/>
          <w:color w:val="000000"/>
          <w:kern w:val="0"/>
          <w:sz w:val="30"/>
          <w:szCs w:val="30"/>
          <w:lang w:val="en-US" w:eastAsia="zh-CN" w:bidi="ar"/>
        </w:rPr>
        <w:t>门框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门框上、左、右三侧应设有凹槽，并镶嵌不燃或阻燃的防火膨胀条。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2.3</w:t>
      </w:r>
      <w:r>
        <w:rPr>
          <w:rFonts w:hint="default" w:ascii="仿宋" w:hAnsi="仿宋" w:eastAsia="仿宋" w:cs="仿宋"/>
          <w:snapToGrid w:val="0"/>
          <w:color w:val="000000"/>
          <w:kern w:val="0"/>
          <w:sz w:val="30"/>
          <w:szCs w:val="30"/>
          <w:lang w:val="en-US" w:eastAsia="zh-CN" w:bidi="ar"/>
        </w:rPr>
        <w:t>涂装</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2.3.1</w:t>
      </w:r>
      <w:r>
        <w:rPr>
          <w:rFonts w:hint="default" w:ascii="仿宋" w:hAnsi="仿宋" w:eastAsia="仿宋" w:cs="仿宋"/>
          <w:snapToGrid w:val="0"/>
          <w:color w:val="000000"/>
          <w:kern w:val="0"/>
          <w:sz w:val="30"/>
          <w:szCs w:val="30"/>
          <w:lang w:val="en-US" w:eastAsia="zh-CN" w:bidi="ar"/>
        </w:rPr>
        <w:t>表面涂装采用静电粉末喷涂工艺，具体按照需方的要求。喷涂工艺应满足《钢门窗粉末静电喷涂涂层技术条件（JG/T495-2016）》，涂膜厚度应≥60um。无论采用何种涂装方式门扇及门框表面应均匀、平整、光滑，无麻点、气泡、起鼓和碰伤划痕。</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2.3.2</w:t>
      </w:r>
      <w:r>
        <w:rPr>
          <w:rFonts w:hint="default" w:ascii="仿宋" w:hAnsi="仿宋" w:eastAsia="仿宋" w:cs="仿宋"/>
          <w:snapToGrid w:val="0"/>
          <w:color w:val="000000"/>
          <w:kern w:val="0"/>
          <w:sz w:val="30"/>
          <w:szCs w:val="30"/>
          <w:lang w:val="en-US" w:eastAsia="zh-CN" w:bidi="ar"/>
        </w:rPr>
        <w:t>所有门的表面效果均以需方最终认定的封样色板为准。</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2.3.3</w:t>
      </w:r>
      <w:r>
        <w:rPr>
          <w:rFonts w:hint="default" w:ascii="仿宋" w:hAnsi="仿宋" w:eastAsia="仿宋" w:cs="仿宋"/>
          <w:snapToGrid w:val="0"/>
          <w:color w:val="000000"/>
          <w:kern w:val="0"/>
          <w:sz w:val="30"/>
          <w:szCs w:val="30"/>
          <w:lang w:val="en-US" w:eastAsia="zh-CN" w:bidi="ar"/>
        </w:rPr>
        <w:t>外观应平整、光洁、无明显凹痕或机械损伤；涂层、镀层应均匀、平整、光滑，不应有堆漆、麻点、气泡、漏涂以及流淌等现象；焊接应牢固、焊点分布均匀，不允许有假焊、烧穿、漏焊、夹渣或疏松等现象，外表面焊接应打磨平整。</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w:t>
      </w:r>
      <w:r>
        <w:rPr>
          <w:rFonts w:hint="default" w:ascii="仿宋" w:hAnsi="仿宋" w:eastAsia="仿宋" w:cs="仿宋"/>
          <w:snapToGrid w:val="0"/>
          <w:color w:val="000000"/>
          <w:kern w:val="0"/>
          <w:sz w:val="30"/>
          <w:szCs w:val="30"/>
          <w:lang w:val="en-US" w:eastAsia="zh-CN" w:bidi="ar"/>
        </w:rPr>
        <w:t>防火门其它要求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3.1</w:t>
      </w:r>
      <w:r>
        <w:rPr>
          <w:rFonts w:hint="default" w:ascii="仿宋" w:hAnsi="仿宋" w:eastAsia="仿宋" w:cs="仿宋"/>
          <w:snapToGrid w:val="0"/>
          <w:color w:val="000000"/>
          <w:kern w:val="0"/>
          <w:sz w:val="30"/>
          <w:szCs w:val="30"/>
          <w:lang w:val="en-US" w:eastAsia="zh-CN" w:bidi="ar"/>
        </w:rPr>
        <w:t>耐火时间及填充物：</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甲乙级防火门的耐火极限不小于1.5小时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3.2</w:t>
      </w:r>
      <w:r>
        <w:rPr>
          <w:rFonts w:hint="default" w:ascii="仿宋" w:hAnsi="仿宋" w:eastAsia="仿宋" w:cs="仿宋"/>
          <w:snapToGrid w:val="0"/>
          <w:color w:val="000000"/>
          <w:kern w:val="0"/>
          <w:sz w:val="30"/>
          <w:szCs w:val="30"/>
          <w:lang w:val="en-US" w:eastAsia="zh-CN" w:bidi="ar"/>
        </w:rPr>
        <w:t>门框、门扇要求：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门框、门扇其耐火极限必须与试验材质相同，并且符合相关施工及质量验收规范，门框、门扇具体要求：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（1）门框锁孔与锁舌的最大配合间隙不应大于3mm；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（2）门扇与门框的搭接宽度不应小于15mm,间隙不应大于2.5mm；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（3）门扇与门框的铰链（合页）贴和间隙不大于2mm,门的开启边在关门状态与门框贴合面间隙不大于3mm；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（4）门扇与下框间隙不大于5mm,门扇的表面平整度不大于2mm；</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（5）门框与与门扇搭接的裁口处应有密封条。密封条应符合GB 16807的防火规定；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（6）门框与门扇的锁闭点数不少于6个；</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（7）防破坏时间必须大于6分钟。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3.3</w:t>
      </w:r>
      <w:r>
        <w:rPr>
          <w:rFonts w:hint="default" w:ascii="仿宋" w:hAnsi="仿宋" w:eastAsia="仿宋" w:cs="仿宋"/>
          <w:snapToGrid w:val="0"/>
          <w:color w:val="000000"/>
          <w:kern w:val="0"/>
          <w:sz w:val="30"/>
          <w:szCs w:val="30"/>
          <w:lang w:val="en-US" w:eastAsia="zh-CN" w:bidi="ar"/>
        </w:rPr>
        <w:t>五金件技术要求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（1）所有五金配件应提供国家相关部门颁发的检测合格报告；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（2）安装于防火门上所有五金配件其熔融温度不低于摄氏950度，防火门开启力推力≤80N；</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（3）所有五金件应满足国家及地方消防专业检测要求；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（4）所有五金件均应注明厂家、品牌、型号、厚度、产地、产品防火功能证明文件，所有配件材料应选用优质产品。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3.4</w:t>
      </w:r>
      <w:r>
        <w:rPr>
          <w:rFonts w:hint="default" w:ascii="仿宋" w:hAnsi="仿宋" w:eastAsia="仿宋" w:cs="仿宋"/>
          <w:snapToGrid w:val="0"/>
          <w:color w:val="000000"/>
          <w:kern w:val="0"/>
          <w:sz w:val="30"/>
          <w:szCs w:val="30"/>
          <w:lang w:val="en-US" w:eastAsia="zh-CN" w:bidi="ar"/>
        </w:rPr>
        <w:t>门铰链（合页）要求：明铰链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（1）门铰链（合页）应能支持门重量，门在开启过程中，门不应产生倾斜，门铰链（合页）轴线不应产生大于2mm位移；</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（2）铰链（合页）必须开启灵活，在不大于49N拉力作用下，门体可灵活转动；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（3）门铰链（合页）必须在强度上能承受使用普通机械手工工具对铰链实施冲击、錾切破坏时传给铰链（合页）的冲击力和撬扒力矩。在规定的时间内，门铰链（合页）应无断裂现象；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（4）防火铰链（合页）板厚应不少于3 mm，防火铰链（合页）的耐火时间应不小于其安装使用的防火门耐火时间。耐火试验过程中，防火铰链（合页）应无明显变形，防火铰链（合页）处应无窜火现象，防火铰链（合页）应能保证防火门门扇与铰链（合页）安装处无位移，并处于良好关闭状态；</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（5）防火门用铰链 (合页)管外径不小于20mm，当洞口高度大于2200mm时以及单扇门洞口宽度大于1100mm时，每个门扇应至少安装四个铰链(合页)。当洞口高度小于2200mm时，每个门扇应至少安装三块以上铰链(合页)。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3.5</w:t>
      </w:r>
      <w:r>
        <w:rPr>
          <w:rFonts w:hint="default" w:ascii="仿宋" w:hAnsi="仿宋" w:eastAsia="仿宋" w:cs="仿宋"/>
          <w:snapToGrid w:val="0"/>
          <w:color w:val="000000"/>
          <w:kern w:val="0"/>
          <w:sz w:val="30"/>
          <w:szCs w:val="30"/>
          <w:lang w:val="en-US" w:eastAsia="zh-CN" w:bidi="ar"/>
        </w:rPr>
        <w:t>防火闭门装置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（1）防火门应安装防火门闭门器；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（2）防火门闭门器应经国家认可授权检测机构检验合格的产品，其性能应符合GA 93的规定。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3.6</w:t>
      </w:r>
      <w:r>
        <w:rPr>
          <w:rFonts w:hint="default" w:ascii="仿宋" w:hAnsi="仿宋" w:eastAsia="仿宋" w:cs="仿宋"/>
          <w:snapToGrid w:val="0"/>
          <w:color w:val="000000"/>
          <w:kern w:val="0"/>
          <w:sz w:val="30"/>
          <w:szCs w:val="30"/>
          <w:lang w:val="en-US" w:eastAsia="zh-CN" w:bidi="ar"/>
        </w:rPr>
        <w:t>防火顺序器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（1）双扇、多扇防火门设置盖缝板或止口的应安装顺序器（特殊部位使用除外）；</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（2）防火顺序器的耐火时间应不小于其安装使用的防火门耐火时间。耐火试验过程中，防火顺序器应无明显变形和熔融现象。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3.7</w:t>
      </w:r>
      <w:r>
        <w:rPr>
          <w:rFonts w:hint="default" w:ascii="仿宋" w:hAnsi="仿宋" w:eastAsia="仿宋" w:cs="仿宋"/>
          <w:snapToGrid w:val="0"/>
          <w:color w:val="000000"/>
          <w:kern w:val="0"/>
          <w:sz w:val="30"/>
          <w:szCs w:val="30"/>
          <w:lang w:val="en-US" w:eastAsia="zh-CN" w:bidi="ar"/>
        </w:rPr>
        <w:t>尺寸极限偏差</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（1）防火门门扇、门框的尺寸极限偏差应符合表2的规定。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00" w:firstLineChars="200"/>
        <w:jc w:val="center"/>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表2 尺寸极限偏差（单位：毫米）</w:t>
      </w: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5299"/>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名称</w:t>
            </w: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项目</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极限偏差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272"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门扇</w:t>
            </w: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高度　H</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272"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宽度　W</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1272"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厚度 T</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fldChar w:fldCharType="begin"/>
            </w:r>
            <w:r>
              <w:rPr>
                <w:rFonts w:hint="default" w:ascii="仿宋" w:hAnsi="仿宋" w:eastAsia="仿宋" w:cs="仿宋"/>
                <w:snapToGrid w:val="0"/>
                <w:color w:val="000000"/>
                <w:kern w:val="0"/>
                <w:sz w:val="24"/>
                <w:szCs w:val="24"/>
                <w:lang w:val="en-US" w:eastAsia="zh-CN" w:bidi="ar"/>
              </w:rPr>
              <w:instrText xml:space="preserve">eq \o(\s\up 12(+2),\s\do 4(-1))</w:instrText>
            </w:r>
            <w:r>
              <w:rPr>
                <w:rFonts w:hint="default" w:ascii="仿宋" w:hAnsi="仿宋" w:eastAsia="仿宋" w:cs="仿宋"/>
                <w:snapToGrid w:val="0"/>
                <w:color w:val="000000"/>
                <w:kern w:val="0"/>
                <w:sz w:val="24"/>
                <w:szCs w:val="24"/>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72"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门框</w:t>
            </w: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内裁口高度 H′</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272"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内裁口宽度  W′</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272"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99"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侧壁宽度 T′</w:t>
            </w:r>
          </w:p>
        </w:tc>
        <w:tc>
          <w:tcPr>
            <w:tcW w:w="1812"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±2</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00" w:firstLineChars="200"/>
        <w:textAlignment w:val="auto"/>
        <w:rPr>
          <w:rFonts w:hint="default" w:ascii="仿宋" w:hAnsi="仿宋" w:eastAsia="仿宋" w:cs="仿宋"/>
          <w:snapToGrid w:val="0"/>
          <w:color w:val="000000"/>
          <w:kern w:val="0"/>
          <w:sz w:val="30"/>
          <w:szCs w:val="30"/>
          <w:lang w:val="en-US" w:eastAsia="zh-CN" w:bidi="ar"/>
        </w:rPr>
      </w:pPr>
      <w:bookmarkStart w:id="14" w:name="_Toc160728139"/>
      <w:r>
        <w:rPr>
          <w:rFonts w:hint="default" w:ascii="仿宋" w:hAnsi="仿宋" w:eastAsia="仿宋" w:cs="仿宋"/>
          <w:snapToGrid w:val="0"/>
          <w:color w:val="000000"/>
          <w:kern w:val="0"/>
          <w:sz w:val="30"/>
          <w:szCs w:val="30"/>
          <w:lang w:val="en-US" w:eastAsia="zh-CN" w:bidi="ar"/>
        </w:rPr>
        <w:t>（2）形位公差</w:t>
      </w:r>
      <w:bookmarkEnd w:id="14"/>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门扇、门框形位公差应符合表3的规定。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0" w:firstLineChars="0"/>
        <w:jc w:val="center"/>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表3 形位公差</w:t>
      </w:r>
    </w:p>
    <w:tbl>
      <w:tblPr>
        <w:tblStyle w:val="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5221"/>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2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名称</w:t>
            </w: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项目</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24"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门扇</w:t>
            </w: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两对角线长度差　|L1-L2|</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124"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扭曲度　D</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124"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宽度方向弯曲度 B1</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124"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高度方向弯曲度 B2</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124"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门框</w:t>
            </w:r>
          </w:p>
        </w:tc>
        <w:tc>
          <w:tcPr>
            <w:tcW w:w="5221"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内裁口两对角线长度差　｜L1′－L2′｜</w:t>
            </w:r>
          </w:p>
        </w:tc>
        <w:tc>
          <w:tcPr>
            <w:tcW w:w="1795"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仿宋" w:hAnsi="仿宋" w:eastAsia="仿宋" w:cs="仿宋"/>
                <w:snapToGrid w:val="0"/>
                <w:color w:val="000000"/>
                <w:kern w:val="0"/>
                <w:sz w:val="24"/>
                <w:szCs w:val="24"/>
                <w:lang w:val="en-US" w:eastAsia="zh-CN" w:bidi="ar"/>
              </w:rPr>
            </w:pPr>
            <w:r>
              <w:rPr>
                <w:rFonts w:hint="default" w:ascii="仿宋" w:hAnsi="仿宋" w:eastAsia="仿宋" w:cs="仿宋"/>
                <w:snapToGrid w:val="0"/>
                <w:color w:val="000000"/>
                <w:kern w:val="0"/>
                <w:sz w:val="24"/>
                <w:szCs w:val="24"/>
                <w:lang w:val="en-US" w:eastAsia="zh-CN" w:bidi="ar"/>
              </w:rPr>
              <w:t>≤3 mm</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3.8</w:t>
      </w:r>
      <w:r>
        <w:rPr>
          <w:rFonts w:hint="default" w:ascii="仿宋" w:hAnsi="仿宋" w:eastAsia="仿宋" w:cs="仿宋"/>
          <w:snapToGrid w:val="0"/>
          <w:color w:val="000000"/>
          <w:kern w:val="0"/>
          <w:sz w:val="30"/>
          <w:szCs w:val="30"/>
          <w:lang w:val="en-US" w:eastAsia="zh-CN" w:bidi="ar"/>
        </w:rPr>
        <w:t>标志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（1）每樘防火门都应在明显位置固有永久性标牌，标牌应包括以下内容：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a)</w:t>
      </w:r>
      <w:r>
        <w:rPr>
          <w:rFonts w:hint="default" w:ascii="仿宋" w:hAnsi="仿宋" w:eastAsia="仿宋" w:cs="仿宋"/>
          <w:snapToGrid w:val="0"/>
          <w:color w:val="000000"/>
          <w:kern w:val="0"/>
          <w:sz w:val="30"/>
          <w:szCs w:val="30"/>
          <w:lang w:val="en-US" w:eastAsia="zh-CN" w:bidi="ar"/>
        </w:rPr>
        <w:tab/>
      </w:r>
      <w:r>
        <w:rPr>
          <w:rFonts w:hint="default" w:ascii="仿宋" w:hAnsi="仿宋" w:eastAsia="仿宋" w:cs="仿宋"/>
          <w:snapToGrid w:val="0"/>
          <w:color w:val="000000"/>
          <w:kern w:val="0"/>
          <w:sz w:val="30"/>
          <w:szCs w:val="30"/>
          <w:lang w:val="en-US" w:eastAsia="zh-CN" w:bidi="ar"/>
        </w:rPr>
        <w:t>产品名称、型号规格及商标；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b)</w:t>
      </w:r>
      <w:r>
        <w:rPr>
          <w:rFonts w:hint="default" w:ascii="仿宋" w:hAnsi="仿宋" w:eastAsia="仿宋" w:cs="仿宋"/>
          <w:snapToGrid w:val="0"/>
          <w:color w:val="000000"/>
          <w:kern w:val="0"/>
          <w:sz w:val="30"/>
          <w:szCs w:val="30"/>
          <w:lang w:val="en-US" w:eastAsia="zh-CN" w:bidi="ar"/>
        </w:rPr>
        <w:tab/>
      </w:r>
      <w:r>
        <w:rPr>
          <w:rFonts w:hint="default" w:ascii="仿宋" w:hAnsi="仿宋" w:eastAsia="仿宋" w:cs="仿宋"/>
          <w:snapToGrid w:val="0"/>
          <w:color w:val="000000"/>
          <w:kern w:val="0"/>
          <w:sz w:val="30"/>
          <w:szCs w:val="30"/>
          <w:lang w:val="en-US" w:eastAsia="zh-CN" w:bidi="ar"/>
        </w:rPr>
        <w:t>制造厂名称或制造厂标记和厂址；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c)</w:t>
      </w:r>
      <w:r>
        <w:rPr>
          <w:rFonts w:hint="default" w:ascii="仿宋" w:hAnsi="仿宋" w:eastAsia="仿宋" w:cs="仿宋"/>
          <w:snapToGrid w:val="0"/>
          <w:color w:val="000000"/>
          <w:kern w:val="0"/>
          <w:sz w:val="30"/>
          <w:szCs w:val="30"/>
          <w:lang w:val="en-US" w:eastAsia="zh-CN" w:bidi="ar"/>
        </w:rPr>
        <w:tab/>
      </w:r>
      <w:r>
        <w:rPr>
          <w:rFonts w:hint="default" w:ascii="仿宋" w:hAnsi="仿宋" w:eastAsia="仿宋" w:cs="仿宋"/>
          <w:snapToGrid w:val="0"/>
          <w:color w:val="000000"/>
          <w:kern w:val="0"/>
          <w:sz w:val="30"/>
          <w:szCs w:val="30"/>
          <w:lang w:val="en-US" w:eastAsia="zh-CN" w:bidi="ar"/>
        </w:rPr>
        <w:t>出厂日期及产品生产批号；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d)</w:t>
      </w:r>
      <w:r>
        <w:rPr>
          <w:rFonts w:hint="default" w:ascii="仿宋" w:hAnsi="仿宋" w:eastAsia="仿宋" w:cs="仿宋"/>
          <w:snapToGrid w:val="0"/>
          <w:color w:val="000000"/>
          <w:kern w:val="0"/>
          <w:sz w:val="30"/>
          <w:szCs w:val="30"/>
          <w:lang w:val="en-US" w:eastAsia="zh-CN" w:bidi="ar"/>
        </w:rPr>
        <w:tab/>
      </w:r>
      <w:r>
        <w:rPr>
          <w:rFonts w:hint="default" w:ascii="仿宋" w:hAnsi="仿宋" w:eastAsia="仿宋" w:cs="仿宋"/>
          <w:snapToGrid w:val="0"/>
          <w:color w:val="000000"/>
          <w:kern w:val="0"/>
          <w:sz w:val="30"/>
          <w:szCs w:val="30"/>
          <w:lang w:val="en-US" w:eastAsia="zh-CN" w:bidi="ar"/>
        </w:rPr>
        <w:t>执行标准；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e)</w:t>
      </w:r>
      <w:r>
        <w:rPr>
          <w:rFonts w:hint="default" w:ascii="仿宋" w:hAnsi="仿宋" w:eastAsia="仿宋" w:cs="仿宋"/>
          <w:snapToGrid w:val="0"/>
          <w:color w:val="000000"/>
          <w:kern w:val="0"/>
          <w:sz w:val="30"/>
          <w:szCs w:val="30"/>
          <w:lang w:val="en-US" w:eastAsia="zh-CN" w:bidi="ar"/>
        </w:rPr>
        <w:tab/>
      </w:r>
      <w:r>
        <w:rPr>
          <w:rFonts w:hint="default" w:ascii="仿宋" w:hAnsi="仿宋" w:eastAsia="仿宋" w:cs="仿宋"/>
          <w:snapToGrid w:val="0"/>
          <w:color w:val="000000"/>
          <w:kern w:val="0"/>
          <w:sz w:val="30"/>
          <w:szCs w:val="30"/>
          <w:lang w:val="en-US" w:eastAsia="zh-CN" w:bidi="ar"/>
        </w:rPr>
        <w:t>防火门耐火性能级别具体内容描述。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（2）产品标牌的制作应符合GB/T 13306的规定。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default" w:ascii="仿宋" w:hAnsi="仿宋" w:eastAsia="仿宋" w:cs="仿宋"/>
          <w:snapToGrid w:val="0"/>
          <w:color w:val="000000"/>
          <w:kern w:val="0"/>
          <w:sz w:val="30"/>
          <w:szCs w:val="30"/>
          <w:lang w:val="en-US" w:eastAsia="zh-CN" w:bidi="ar"/>
        </w:rPr>
        <w:t>说明：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A.</w:t>
      </w:r>
      <w:r>
        <w:rPr>
          <w:rFonts w:hint="default" w:ascii="仿宋" w:hAnsi="仿宋" w:eastAsia="仿宋" w:cs="仿宋"/>
          <w:snapToGrid w:val="0"/>
          <w:color w:val="000000"/>
          <w:kern w:val="0"/>
          <w:sz w:val="30"/>
          <w:szCs w:val="30"/>
          <w:lang w:val="en-US" w:eastAsia="zh-CN" w:bidi="ar"/>
        </w:rPr>
        <w:t>材料进场后由采购人或其委托的相关专业专家、成交供应商共同验收，验收合格后方可使用。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B.</w:t>
      </w:r>
      <w:r>
        <w:rPr>
          <w:rFonts w:hint="default" w:ascii="仿宋" w:hAnsi="仿宋" w:eastAsia="仿宋" w:cs="仿宋"/>
          <w:snapToGrid w:val="0"/>
          <w:color w:val="000000"/>
          <w:kern w:val="0"/>
          <w:sz w:val="30"/>
          <w:szCs w:val="30"/>
          <w:lang w:val="en-US" w:eastAsia="zh-CN" w:bidi="ar"/>
        </w:rPr>
        <w:t>本项目技术参数描述中若出现厂家、品牌、图片等表述的，皆为参照或相当于，其目的是为了方便供应商直观和准确地把握相应产品的技术标准，不具指定或唯一的意思表示，供应商应当参照所列品牌的产品，提供参照或相当于或者优于所列技术标准的产品，为了确保产品质量，产品的技术参数可大于或等于但不能低于竞争性磋商文件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四、响应文件内容及要求</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一）响应文件内容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1.法定代表人或授权代理人签署的报价函 </w:t>
      </w:r>
      <w:r>
        <w:rPr>
          <w:rFonts w:hint="eastAsia" w:ascii="仿宋" w:hAnsi="仿宋" w:eastAsia="仿宋" w:cs="仿宋"/>
          <w:b/>
          <w:bCs/>
          <w:sz w:val="32"/>
          <w:szCs w:val="32"/>
          <w:lang w:val="en-US" w:eastAsia="zh-CN"/>
        </w:rPr>
        <w:t>(附件一)</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2.资格证明文件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营业执照</w:t>
      </w:r>
      <w:r>
        <w:rPr>
          <w:rFonts w:hint="eastAsia" w:ascii="仿宋" w:hAnsi="仿宋" w:eastAsia="仿宋" w:cs="仿宋"/>
          <w:sz w:val="32"/>
          <w:szCs w:val="32"/>
          <w:lang w:eastAsia="zh-CN"/>
        </w:rPr>
        <w:t>、</w:t>
      </w:r>
      <w:r>
        <w:rPr>
          <w:rFonts w:hint="eastAsia" w:ascii="仿宋" w:hAnsi="仿宋" w:eastAsia="仿宋" w:cs="仿宋"/>
          <w:sz w:val="32"/>
          <w:szCs w:val="32"/>
        </w:rPr>
        <w:t>税务登记证、组织机构代码证（必须经过有效年检）或有效的三证合一证件</w:t>
      </w:r>
      <w:r>
        <w:rPr>
          <w:rFonts w:hint="eastAsia" w:ascii="仿宋" w:hAnsi="仿宋" w:eastAsia="仿宋" w:cs="仿宋"/>
          <w:sz w:val="32"/>
          <w:szCs w:val="32"/>
          <w:lang w:val="en-US" w:eastAsia="zh-CN"/>
        </w:rPr>
        <w:t>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2.2与本项目有关的权威认证报告或测试报告以及开展本项目所必须的其他从业证书复印件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3.法人</w:t>
      </w:r>
      <w:r>
        <w:rPr>
          <w:rFonts w:hint="eastAsia" w:ascii="仿宋" w:hAnsi="仿宋" w:eastAsia="仿宋" w:cs="仿宋"/>
          <w:sz w:val="32"/>
          <w:szCs w:val="32"/>
        </w:rPr>
        <w:t>授权委托书</w:t>
      </w:r>
      <w:r>
        <w:rPr>
          <w:rFonts w:hint="eastAsia" w:ascii="仿宋" w:hAnsi="仿宋" w:eastAsia="仿宋" w:cs="仿宋"/>
          <w:b/>
          <w:bCs/>
          <w:sz w:val="32"/>
          <w:szCs w:val="32"/>
          <w:lang w:val="en-US" w:eastAsia="zh-CN"/>
        </w:rPr>
        <w:t>（附件二）</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4.没有重大违法记录的书面声明（</w:t>
      </w:r>
      <w:r>
        <w:rPr>
          <w:rFonts w:hint="eastAsia" w:ascii="仿宋" w:hAnsi="仿宋" w:eastAsia="仿宋" w:cs="仿宋"/>
          <w:b/>
          <w:bCs/>
          <w:sz w:val="32"/>
          <w:szCs w:val="32"/>
          <w:lang w:val="en-US" w:eastAsia="zh-CN"/>
        </w:rPr>
        <w:t>附件三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5.供应商应提供本单位信用记录情况。查询渠道：“信用中国”网站(www.creditchina.gov.cn)截图（</w:t>
      </w:r>
      <w:r>
        <w:rPr>
          <w:rFonts w:hint="eastAsia" w:ascii="仿宋" w:hAnsi="仿宋" w:eastAsia="仿宋" w:cs="仿宋"/>
          <w:b/>
          <w:bCs/>
          <w:sz w:val="32"/>
          <w:szCs w:val="32"/>
          <w:lang w:val="en-US" w:eastAsia="zh-CN"/>
        </w:rPr>
        <w:t>方法见附件九</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6.报价表</w:t>
      </w:r>
      <w:r>
        <w:rPr>
          <w:rFonts w:hint="eastAsia" w:ascii="仿宋" w:hAnsi="仿宋" w:eastAsia="仿宋" w:cs="仿宋"/>
          <w:b/>
          <w:bCs/>
          <w:sz w:val="32"/>
          <w:szCs w:val="32"/>
          <w:lang w:val="en-US" w:eastAsia="zh-CN"/>
        </w:rPr>
        <w:t>（附件四）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7.近三年类似业绩（自2020年1月1日起），附合同或发票</w:t>
      </w:r>
      <w:r>
        <w:rPr>
          <w:rFonts w:hint="eastAsia" w:ascii="仿宋" w:hAnsi="仿宋" w:eastAsia="仿宋" w:cs="仿宋"/>
          <w:b/>
          <w:bCs/>
          <w:sz w:val="32"/>
          <w:szCs w:val="32"/>
          <w:lang w:val="en-US" w:eastAsia="zh-CN"/>
        </w:rPr>
        <w:t>（附件六）</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8.公司简介，包括但不限于投入本项目人员、注册资金以及其他完成本项目的技术实力。（格式自拟）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9.根据钢质防火门技术要求，列出产品性能参数偏离表。</w:t>
      </w:r>
      <w:r>
        <w:rPr>
          <w:rFonts w:hint="eastAsia" w:ascii="仿宋" w:hAnsi="仿宋" w:eastAsia="仿宋" w:cs="仿宋"/>
          <w:b/>
          <w:bCs/>
          <w:sz w:val="32"/>
          <w:szCs w:val="32"/>
          <w:lang w:val="en-US" w:eastAsia="zh-CN"/>
        </w:rPr>
        <w:t>（附件十）</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lang w:val="en-US" w:eastAsia="zh-CN"/>
        </w:rPr>
      </w:pPr>
      <w:r>
        <w:rPr>
          <w:rFonts w:hint="eastAsia" w:ascii="仿宋" w:hAnsi="仿宋" w:eastAsia="仿宋" w:cs="仿宋"/>
          <w:sz w:val="32"/>
          <w:szCs w:val="32"/>
          <w:lang w:val="en-US" w:eastAsia="zh-CN"/>
        </w:rPr>
        <w:t>10.施工方案，包括拆除、安装、修复、清运垃圾拆卸物、工期计划等实施方案。（格式自拟）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11.质保期以及售后保障措施（格式自拟）。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12.供应商认为应当提供的其他材料。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（二）响应文件要求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1.响应文件一式四份，一正三副（</w:t>
      </w:r>
      <w:r>
        <w:rPr>
          <w:rFonts w:hint="eastAsia" w:ascii="仿宋" w:hAnsi="仿宋" w:eastAsia="仿宋" w:cs="仿宋"/>
          <w:sz w:val="32"/>
          <w:szCs w:val="32"/>
          <w:u w:val="single"/>
          <w:lang w:val="en-US" w:eastAsia="zh-CN"/>
        </w:rPr>
        <w:t>标明正副本</w:t>
      </w:r>
      <w:r>
        <w:rPr>
          <w:rFonts w:hint="eastAsia" w:ascii="仿宋" w:hAnsi="仿宋" w:eastAsia="仿宋" w:cs="仿宋"/>
          <w:sz w:val="32"/>
          <w:szCs w:val="32"/>
          <w:lang w:val="en-US" w:eastAsia="zh-CN"/>
        </w:rPr>
        <w:t>），胶装或装订成册，档案袋内盖章密封</w:t>
      </w:r>
      <w:r>
        <w:rPr>
          <w:rFonts w:hint="eastAsia" w:ascii="仿宋" w:hAnsi="仿宋" w:eastAsia="仿宋" w:cs="仿宋"/>
          <w:b/>
          <w:bCs/>
          <w:sz w:val="32"/>
          <w:szCs w:val="32"/>
          <w:lang w:val="en-US" w:eastAsia="zh-CN"/>
        </w:rPr>
        <w:t>（附件七附件八）</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2.上述材料复印件均需盖鲜章和骑缝章。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3.响应文件应按上述要求制作，因供应商对其响应文件密封不当或签署不当而造成响应文件被拒绝，由供应商自行负责。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4.另准备1份报价单和响应文件一并密封在档案袋内。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5" w:name="_Toc26339"/>
      <w:r>
        <w:rPr>
          <w:rFonts w:hint="eastAsia" w:ascii="黑体" w:hAnsi="黑体" w:eastAsia="黑体" w:cs="黑体"/>
          <w:sz w:val="32"/>
          <w:szCs w:val="32"/>
          <w:lang w:val="en-US" w:eastAsia="zh-CN"/>
        </w:rPr>
        <w:t>五、其他</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1.</w:t>
      </w:r>
      <w:r>
        <w:rPr>
          <w:rFonts w:hint="default" w:ascii="Times New Roman" w:hAnsi="Times New Roman" w:eastAsia="仿宋" w:cs="Times New Roman"/>
          <w:sz w:val="32"/>
          <w:szCs w:val="32"/>
          <w:lang w:val="en-US" w:eastAsia="zh-CN"/>
        </w:rPr>
        <w:t>我院有权利拒绝在中国政府采购网（</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"http://www.ccgp.gov.cn"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www.ccgp.gov.cn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）被列入政府采购严重违法失信行为记录名单，或在“信用中国”网站（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"http://www.creditchina.gov.cn"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www.creditchina.gov.cn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）及“信用山东”网站（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"http://www.creditsd.gov.cn"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www.creditsd.gov.cn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）被列入失信被执行人、重大税收违法案件当事人名单，以及存在《中华人民共和国政府采购法实施条例》第十九条规定的行政处罚记录的供应商参加本次议价采购活动。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2.报价表中的价格应包括货物、仪器仪表计量、劳务、材料、安装调试、运输、装卸、仓储、维护、退换货、培训、保险、税等各项费用，即供应商对采购方的实际供应价。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6" w:name="_Toc10857"/>
      <w:r>
        <w:rPr>
          <w:rFonts w:hint="eastAsia" w:ascii="黑体" w:hAnsi="黑体" w:eastAsia="黑体" w:cs="黑体"/>
          <w:sz w:val="32"/>
          <w:szCs w:val="32"/>
          <w:lang w:val="en-US" w:eastAsia="zh-CN"/>
        </w:rPr>
        <w:t>六、评审办法及评分标准</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1.评审办法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本项目采用综合评分法，百分制。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评分标准</w:t>
      </w:r>
    </w:p>
    <w:tbl>
      <w:tblPr>
        <w:tblStyle w:val="13"/>
        <w:tblW w:w="87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991"/>
        <w:gridCol w:w="6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项目</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得分</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报价</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rPr>
              <w:t>满足</w:t>
            </w:r>
            <w:r>
              <w:rPr>
                <w:rFonts w:hint="eastAsia" w:ascii="仿宋" w:hAnsi="仿宋" w:eastAsia="仿宋" w:cs="仿宋"/>
                <w:spacing w:val="8"/>
                <w:sz w:val="24"/>
                <w:szCs w:val="24"/>
                <w:lang w:val="en-US" w:eastAsia="zh-CN"/>
              </w:rPr>
              <w:t>采购</w:t>
            </w:r>
            <w:r>
              <w:rPr>
                <w:rFonts w:hint="eastAsia" w:ascii="仿宋" w:hAnsi="仿宋" w:eastAsia="仿宋" w:cs="仿宋"/>
                <w:spacing w:val="8"/>
                <w:sz w:val="24"/>
                <w:szCs w:val="24"/>
              </w:rPr>
              <w:t>文件要求且最终报价最低的供应商的价格为基准价，其价格分为满分。其他供应商的价格分统一按照下列公式计算： 报价得分=（基准价/最后报价）×50×100%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8"/>
                <w:sz w:val="24"/>
                <w:szCs w:val="24"/>
                <w:lang w:val="zh-CN" w:eastAsia="zh-CN"/>
              </w:rPr>
            </w:pPr>
            <w:r>
              <w:rPr>
                <w:rFonts w:hint="eastAsia" w:ascii="仿宋" w:hAnsi="仿宋" w:eastAsia="仿宋" w:cs="仿宋"/>
                <w:spacing w:val="8"/>
                <w:sz w:val="24"/>
                <w:szCs w:val="24"/>
                <w:lang w:val="en-US" w:eastAsia="zh-CN"/>
              </w:rPr>
              <w:t>供应商</w:t>
            </w:r>
            <w:r>
              <w:rPr>
                <w:rFonts w:hint="eastAsia" w:ascii="仿宋" w:hAnsi="仿宋" w:eastAsia="仿宋" w:cs="仿宋"/>
                <w:spacing w:val="8"/>
                <w:sz w:val="24"/>
                <w:szCs w:val="24"/>
                <w:lang w:val="zh-CN"/>
              </w:rPr>
              <w:t>实力</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zh-CN"/>
              </w:rPr>
              <w:t>评委可依据供应商提供的厂家营业执照信息、管理体系认证证书、权威机构出具的检验报告及取得的荣誉等方面在0-5分之间酌情打分。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8"/>
                <w:sz w:val="24"/>
                <w:szCs w:val="24"/>
                <w:lang w:val="zh-CN"/>
              </w:rPr>
            </w:pPr>
            <w:r>
              <w:rPr>
                <w:rFonts w:hint="eastAsia" w:ascii="仿宋" w:hAnsi="仿宋" w:eastAsia="仿宋" w:cs="仿宋"/>
                <w:spacing w:val="8"/>
                <w:sz w:val="24"/>
                <w:szCs w:val="24"/>
                <w:lang w:val="zh-CN"/>
              </w:rPr>
              <w:t>产品</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8"/>
                <w:sz w:val="24"/>
                <w:szCs w:val="24"/>
                <w:lang w:val="zh-CN" w:eastAsia="zh-CN"/>
              </w:rPr>
            </w:pPr>
            <w:r>
              <w:rPr>
                <w:rFonts w:hint="eastAsia" w:ascii="仿宋" w:hAnsi="仿宋" w:eastAsia="仿宋" w:cs="仿宋"/>
                <w:spacing w:val="8"/>
                <w:sz w:val="24"/>
                <w:szCs w:val="24"/>
                <w:lang w:val="zh-CN"/>
              </w:rPr>
              <w:t>技术性能</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zh-CN"/>
              </w:rPr>
              <w:t>符合磋商文件要求的得基本分10分。投标产品技术性能优于磋商文件技术要求的（请在响应文件中重点标出），每有一项得1分，本项最多5分。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拆除、</w:t>
            </w:r>
            <w:r>
              <w:rPr>
                <w:rFonts w:hint="eastAsia" w:ascii="仿宋" w:hAnsi="仿宋" w:eastAsia="仿宋" w:cs="仿宋"/>
                <w:spacing w:val="8"/>
                <w:sz w:val="24"/>
                <w:szCs w:val="24"/>
                <w:lang w:val="zh-CN"/>
              </w:rPr>
              <w:t>安装及装修恢复、</w:t>
            </w:r>
            <w:r>
              <w:rPr>
                <w:rFonts w:hint="eastAsia" w:ascii="仿宋" w:hAnsi="仿宋" w:eastAsia="仿宋" w:cs="仿宋"/>
                <w:spacing w:val="8"/>
                <w:sz w:val="24"/>
                <w:szCs w:val="24"/>
                <w:lang w:val="en-US" w:eastAsia="zh-CN"/>
              </w:rPr>
              <w:t>垃圾清运</w:t>
            </w:r>
            <w:r>
              <w:rPr>
                <w:rFonts w:hint="eastAsia" w:ascii="仿宋" w:hAnsi="仿宋" w:eastAsia="仿宋" w:cs="仿宋"/>
                <w:spacing w:val="8"/>
                <w:sz w:val="24"/>
                <w:szCs w:val="24"/>
                <w:lang w:val="zh-CN"/>
              </w:rPr>
              <w:t>实施方案</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8"/>
                <w:sz w:val="24"/>
                <w:szCs w:val="24"/>
                <w:lang w:val="zh-CN"/>
              </w:rPr>
            </w:pPr>
            <w:r>
              <w:rPr>
                <w:rFonts w:hint="eastAsia" w:ascii="仿宋" w:hAnsi="仿宋" w:eastAsia="仿宋" w:cs="仿宋"/>
                <w:spacing w:val="8"/>
                <w:sz w:val="24"/>
                <w:szCs w:val="24"/>
                <w:lang w:val="zh-CN"/>
              </w:rPr>
              <w:t>安装方案细致清晰合理得10分，比较清晰合理得8分，方案不完整相对合理得5分，没有得0分；</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rPr>
            </w:pPr>
            <w:r>
              <w:rPr>
                <w:rFonts w:hint="eastAsia" w:ascii="仿宋" w:hAnsi="仿宋" w:eastAsia="仿宋" w:cs="仿宋"/>
                <w:spacing w:val="8"/>
                <w:sz w:val="24"/>
                <w:szCs w:val="24"/>
                <w:lang w:val="zh-CN"/>
              </w:rPr>
              <w:t>装修恢复措施完善符合验收要求得5分，措施基本完善可以达到验收要求得3分，措施一般可能达到验收要求得1分，没有得0分。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同类项目</w:t>
            </w:r>
            <w:r>
              <w:rPr>
                <w:rFonts w:hint="eastAsia" w:ascii="仿宋" w:hAnsi="仿宋" w:eastAsia="仿宋" w:cs="仿宋"/>
                <w:spacing w:val="8"/>
                <w:sz w:val="24"/>
                <w:szCs w:val="24"/>
                <w:lang w:val="zh-CN"/>
              </w:rPr>
              <w:t>业绩</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10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zh-CN"/>
              </w:rPr>
            </w:pPr>
            <w:r>
              <w:rPr>
                <w:rFonts w:hint="eastAsia" w:ascii="仿宋" w:hAnsi="仿宋" w:eastAsia="仿宋" w:cs="仿宋"/>
                <w:spacing w:val="8"/>
                <w:sz w:val="24"/>
                <w:szCs w:val="24"/>
                <w:lang w:val="zh-CN"/>
              </w:rPr>
              <w:t>须提供山东省内近三年类似业绩，每有一个业绩得2分。其中泰安市范围内业绩不得少于3个。</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zh-CN"/>
              </w:rPr>
              <w:t>注：需提供合同原件待查，另需将合同复印件制作在</w:t>
            </w:r>
            <w:r>
              <w:rPr>
                <w:rFonts w:hint="eastAsia" w:ascii="仿宋" w:hAnsi="仿宋" w:eastAsia="仿宋" w:cs="仿宋"/>
                <w:spacing w:val="8"/>
                <w:sz w:val="24"/>
                <w:szCs w:val="24"/>
                <w:lang w:val="en-US" w:eastAsia="zh-CN"/>
              </w:rPr>
              <w:t>响应</w:t>
            </w:r>
            <w:r>
              <w:rPr>
                <w:rFonts w:hint="eastAsia" w:ascii="仿宋" w:hAnsi="仿宋" w:eastAsia="仿宋" w:cs="仿宋"/>
                <w:spacing w:val="8"/>
                <w:sz w:val="24"/>
                <w:szCs w:val="24"/>
                <w:lang w:val="zh-CN"/>
              </w:rPr>
              <w:t>文件中，否则不予加分。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zh-CN"/>
              </w:rPr>
              <w:t>售后服务</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zh-CN"/>
              </w:rPr>
              <w:t>根据供应商对设备在质保期内、外的售后服务方案和响应时间等，由专家进行综合打分。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sectPr>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7" w:name="_Toc9625"/>
      <w:r>
        <w:rPr>
          <w:rFonts w:hint="eastAsia" w:ascii="黑体" w:hAnsi="黑体" w:eastAsia="黑体" w:cs="黑体"/>
          <w:sz w:val="32"/>
          <w:szCs w:val="32"/>
          <w:lang w:val="en-US" w:eastAsia="zh-CN"/>
        </w:rPr>
        <w:t>附件一 报价函</w:t>
      </w:r>
      <w:bookmarkEnd w:id="17"/>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报价函</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 xml:space="preserve">）系中华人民共和国合法企业，经营地址 </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。我方愿意参加贵方组织的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（项目编号）的项目，为此，我方就本项目有关事项郑重声明如下：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1、我方已详细审查全部采购文件，同意采购文件的各项要求。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2、我方向贵方提交的所有响应文件、资料都是准确的和真实的。</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3、若成交，我方将按采购文件规定履行合同责任和义务。</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4、我方理解，最低报价不是成交的保证，你们有选择成交供应商的权利。</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5、我方遵守贵机构有关采购的各项规定。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6、响应文件自报价之日起有效期为90日历日。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7、以上事项如有虚假或隐瞒，我方愿意承担一切后果，并不再寻求任何旨在减轻或免除法律责任的辩解。</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法定代表人签字：</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日期：</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8" w:name="_Toc16628"/>
      <w:r>
        <w:rPr>
          <w:rFonts w:hint="eastAsia" w:ascii="黑体" w:hAnsi="黑体" w:eastAsia="黑体" w:cs="黑体"/>
          <w:sz w:val="32"/>
          <w:szCs w:val="32"/>
          <w:lang w:val="en-US" w:eastAsia="zh-CN"/>
        </w:rPr>
        <w:t>附件二 法定代表人授权委托书</w:t>
      </w:r>
      <w:bookmarkEnd w:id="18"/>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center"/>
        <w:textAlignment w:val="baseline"/>
        <w:outlineLvl w:val="0"/>
        <w:rPr>
          <w:rFonts w:hint="eastAsia" w:ascii="仿宋" w:hAnsi="仿宋" w:eastAsia="仿宋" w:cs="仿宋"/>
          <w:b/>
          <w:bCs w:val="0"/>
          <w:snapToGrid w:val="0"/>
          <w:color w:val="000000"/>
          <w:kern w:val="0"/>
          <w:sz w:val="28"/>
          <w:szCs w:val="28"/>
          <w:lang w:val="en-US" w:eastAsia="zh-CN" w:bidi="ar"/>
        </w:rPr>
      </w:pPr>
      <w:bookmarkStart w:id="19" w:name="_Toc25026"/>
      <w:bookmarkStart w:id="20" w:name="_Toc11819"/>
      <w:bookmarkStart w:id="21" w:name="_Toc20637"/>
      <w:bookmarkStart w:id="22" w:name="_Toc10123"/>
      <w:bookmarkStart w:id="23" w:name="_Toc24607"/>
      <w:bookmarkStart w:id="24" w:name="_Toc2508"/>
      <w:bookmarkStart w:id="25" w:name="_Toc28049"/>
      <w:r>
        <w:rPr>
          <w:rFonts w:hint="eastAsia" w:ascii="仿宋" w:hAnsi="仿宋" w:eastAsia="仿宋" w:cs="仿宋"/>
          <w:b/>
          <w:bCs w:val="0"/>
          <w:sz w:val="28"/>
          <w:szCs w:val="28"/>
          <w:lang w:val="en-US" w:eastAsia="zh-CN"/>
        </w:rPr>
        <w:t>法定代表人授权委托书</w:t>
      </w:r>
      <w:bookmarkEnd w:id="19"/>
      <w:bookmarkEnd w:id="20"/>
      <w:bookmarkEnd w:id="21"/>
      <w:bookmarkEnd w:id="22"/>
      <w:bookmarkEnd w:id="23"/>
      <w:bookmarkEnd w:id="24"/>
      <w:bookmarkEnd w:id="25"/>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本授权委托书声明：我</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（姓名）系</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（供应商名称）法定代表人，现授权委托我公司的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姓名、职务或职称</w:t>
      </w:r>
      <w:r>
        <w:rPr>
          <w:rFonts w:hint="eastAsia" w:ascii="仿宋" w:hAnsi="仿宋" w:eastAsia="仿宋" w:cs="仿宋"/>
          <w:snapToGrid w:val="0"/>
          <w:color w:val="000000"/>
          <w:kern w:val="0"/>
          <w:sz w:val="28"/>
          <w:szCs w:val="28"/>
          <w:lang w:val="en-US" w:eastAsia="zh-CN" w:bidi="ar"/>
        </w:rPr>
        <w:t>）为我公司本次</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（项目编号：）的授权代表，并授权其全权代表我方办理本次采购、签约的相关事宜，签署全部有关的文件、协议、合同并具有法律效力。</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在我方未发出撤销授权书的书面通知以前，本授权书一直有效。被授权人签署的所有文件（在授权书有效期内签署的）不因授权撤销而失效。</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授权代表无权转让委托权。特此委托。</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本授权书于</w:t>
      </w:r>
      <w:r>
        <w:rPr>
          <w:rFonts w:hint="eastAsia" w:ascii="仿宋" w:hAnsi="仿宋" w:eastAsia="仿宋" w:cs="仿宋"/>
          <w:snapToGrid w:val="0"/>
          <w:color w:val="000000"/>
          <w:kern w:val="0"/>
          <w:sz w:val="28"/>
          <w:szCs w:val="28"/>
          <w:u w:val="single"/>
          <w:lang w:val="en-US" w:eastAsia="zh-CN" w:bidi="ar"/>
        </w:rPr>
        <w:t xml:space="preserve">    年    月    日</w:t>
      </w:r>
      <w:r>
        <w:rPr>
          <w:rFonts w:hint="eastAsia" w:ascii="仿宋" w:hAnsi="仿宋" w:eastAsia="仿宋" w:cs="仿宋"/>
          <w:snapToGrid w:val="0"/>
          <w:color w:val="000000"/>
          <w:kern w:val="0"/>
          <w:sz w:val="28"/>
          <w:szCs w:val="28"/>
          <w:lang w:val="en-US" w:eastAsia="zh-CN" w:bidi="ar"/>
        </w:rPr>
        <w:t>签字生效,特此声明。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left"/>
        <w:textAlignment w:val="baseline"/>
        <w:outlineLvl w:val="0"/>
        <w:rPr>
          <w:rFonts w:hint="eastAsia" w:ascii="仿宋" w:hAnsi="仿宋" w:eastAsia="仿宋" w:cs="仿宋"/>
          <w:sz w:val="28"/>
          <w:szCs w:val="28"/>
        </w:rPr>
      </w:pPr>
      <w:bookmarkStart w:id="26" w:name="_Toc28948"/>
      <w:bookmarkStart w:id="27" w:name="_Toc24297"/>
      <w:bookmarkStart w:id="28" w:name="_Toc15031"/>
      <w:bookmarkStart w:id="29" w:name="_Toc9216"/>
      <w:bookmarkStart w:id="30" w:name="_Toc2037"/>
      <w:bookmarkStart w:id="31" w:name="_Toc28995"/>
      <w:bookmarkStart w:id="32" w:name="_Toc15194"/>
      <w:r>
        <w:rPr>
          <w:rFonts w:hint="eastAsia" w:ascii="仿宋" w:hAnsi="仿宋" w:eastAsia="仿宋" w:cs="仿宋"/>
          <w:b/>
          <w:bCs/>
          <w:snapToGrid w:val="0"/>
          <w:color w:val="000000"/>
          <w:kern w:val="0"/>
          <w:sz w:val="28"/>
          <w:szCs w:val="28"/>
          <w:lang w:val="en-US" w:eastAsia="zh-CN" w:bidi="ar"/>
        </w:rPr>
        <w:t>(附法人代表身份证及授权代表身份证复印件)</w:t>
      </w:r>
      <w:bookmarkEnd w:id="26"/>
      <w:bookmarkEnd w:id="27"/>
      <w:bookmarkEnd w:id="28"/>
      <w:bookmarkEnd w:id="29"/>
      <w:bookmarkEnd w:id="30"/>
      <w:bookmarkEnd w:id="31"/>
      <w:bookmarkEnd w:id="32"/>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3" w:name="_Toc10258"/>
      <w:r>
        <w:rPr>
          <w:rFonts w:hint="eastAsia" w:ascii="黑体" w:hAnsi="黑体" w:eastAsia="黑体" w:cs="黑体"/>
          <w:sz w:val="32"/>
          <w:szCs w:val="32"/>
          <w:lang w:val="en-US" w:eastAsia="zh-CN"/>
        </w:rPr>
        <w:t>附件三 没有重大违法记录的书面声明</w:t>
      </w:r>
      <w:bookmarkEnd w:id="33"/>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没有重大违法记录的书面声明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在参加本次投标之日起前三年内，我公司未因违法经营受到刑事处罚或者责令停产停业、吊销许可证或者执照、较大数额罚款等行政处罚。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本公司未列入失信被执行人、重大税收违法案件当事人名单、政府采购严重违法失信行为记录名单。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本公司自愿依法接受取消投标资格、记入信用档案、取消中标资格等有关处理，愿意承担法律责任，给采购人造成损失的，依法承担赔偿责任。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4" w:name="_Toc11492"/>
      <w:r>
        <w:rPr>
          <w:rFonts w:hint="eastAsia" w:ascii="黑体" w:hAnsi="黑体" w:eastAsia="黑体" w:cs="黑体"/>
          <w:sz w:val="32"/>
          <w:szCs w:val="32"/>
          <w:lang w:val="en-US" w:eastAsia="zh-CN"/>
        </w:rPr>
        <w:t>附件四 报价一览表</w:t>
      </w:r>
      <w:bookmarkEnd w:id="34"/>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报价一览表</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法定代表人或授权代理人签字：   </w:t>
      </w:r>
    </w:p>
    <w:tbl>
      <w:tblPr>
        <w:tblStyle w:val="13"/>
        <w:tblW w:w="90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8"/>
        <w:gridCol w:w="6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谈判前报价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（单价）</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小写：</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质保期</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bookmarkStart w:id="54" w:name="_GoBack"/>
            <w:bookmarkEnd w:id="54"/>
            <w:r>
              <w:rPr>
                <w:rFonts w:hint="eastAsia" w:ascii="仿宋" w:hAnsi="仿宋" w:eastAsia="仿宋" w:cs="仿宋"/>
                <w:snapToGrid w:val="0"/>
                <w:color w:val="000000"/>
                <w:kern w:val="0"/>
                <w:sz w:val="28"/>
                <w:szCs w:val="28"/>
                <w:lang w:val="en-US" w:eastAsia="zh-CN" w:bidi="ar"/>
              </w:rPr>
              <w:t>其他优惠措施</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及承诺</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对文件的认同程度</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3"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说明</w:t>
            </w:r>
          </w:p>
        </w:tc>
        <w:tc>
          <w:tcPr>
            <w:tcW w:w="652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1.本报价是我方在充分阅读和理解采购文件的各项内容后作出的报价。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2.我方完全理解磋商文件所作出的风险提示，因此，在报价中已经包含各种风险因素。</w:t>
            </w:r>
          </w:p>
        </w:tc>
      </w:tr>
    </w:tbl>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default" w:ascii="黑体" w:hAnsi="黑体" w:eastAsia="黑体" w:cs="黑体"/>
          <w:sz w:val="32"/>
          <w:szCs w:val="32"/>
          <w:lang w:val="en-US" w:eastAsia="zh-CN"/>
        </w:rPr>
      </w:pPr>
      <w:r>
        <w:rPr>
          <w:rFonts w:hint="eastAsia" w:ascii="仿宋" w:hAnsi="仿宋" w:eastAsia="仿宋" w:cs="仿宋"/>
          <w:snapToGrid w:val="0"/>
          <w:color w:val="000000"/>
          <w:kern w:val="0"/>
          <w:sz w:val="28"/>
          <w:szCs w:val="28"/>
          <w:lang w:val="en-US" w:eastAsia="zh-CN" w:bidi="ar"/>
        </w:rPr>
        <w:br w:type="column"/>
      </w:r>
      <w:r>
        <w:rPr>
          <w:rFonts w:hint="eastAsia" w:ascii="黑体" w:hAnsi="黑体" w:eastAsia="黑体" w:cs="黑体"/>
          <w:sz w:val="32"/>
          <w:szCs w:val="32"/>
          <w:lang w:val="en-US" w:eastAsia="zh-CN"/>
        </w:rPr>
        <w:t>附件五 最终报价单</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法定代表人或授权代理人签字：   </w:t>
      </w:r>
    </w:p>
    <w:tbl>
      <w:tblPr>
        <w:tblStyle w:val="13"/>
        <w:tblW w:w="90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8"/>
        <w:gridCol w:w="6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2"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谈判前报价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（单价）</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小写：</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质保期</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其他优惠措施</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及承诺</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对文件的认同程度</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3"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说明</w:t>
            </w:r>
          </w:p>
        </w:tc>
        <w:tc>
          <w:tcPr>
            <w:tcW w:w="652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1.本报价是我方在充分阅读和理解采购文件的各项内容后作出的报价。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2.我方完全理解磋商文件所作出的风险提示，因此，在报价中已经包含各种风险因素。</w:t>
            </w:r>
          </w:p>
        </w:tc>
      </w:tr>
    </w:tbl>
    <w:p>
      <w:pPr>
        <w:keepNext w:val="0"/>
        <w:keepLines w:val="0"/>
        <w:widowControl/>
        <w:suppressLineNumbers w:val="0"/>
        <w:jc w:val="both"/>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最终报价单请提前盖好公章，至少准备2份，用于谈判后最终报价。</w:t>
      </w: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righ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righ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5" w:name="_Toc5612"/>
      <w:r>
        <w:rPr>
          <w:rFonts w:hint="eastAsia" w:ascii="黑体" w:hAnsi="黑体" w:eastAsia="黑体" w:cs="黑体"/>
          <w:sz w:val="32"/>
          <w:szCs w:val="32"/>
          <w:lang w:val="en-US" w:eastAsia="zh-CN"/>
        </w:rPr>
        <w:t>附件六 同类项目实施情况一览表</w:t>
      </w:r>
      <w:bookmarkEnd w:id="35"/>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jc w:val="center"/>
        <w:outlineLvl w:val="0"/>
        <w:rPr>
          <w:rFonts w:hint="eastAsia" w:ascii="仿宋" w:hAnsi="仿宋" w:eastAsia="仿宋" w:cs="仿宋"/>
          <w:b/>
          <w:bCs/>
          <w:snapToGrid w:val="0"/>
          <w:color w:val="000000"/>
          <w:kern w:val="0"/>
          <w:sz w:val="24"/>
          <w:szCs w:val="24"/>
          <w:lang w:val="en-US" w:eastAsia="zh-CN" w:bidi="ar"/>
        </w:rPr>
      </w:pPr>
      <w:bookmarkStart w:id="36" w:name="_Toc20218"/>
      <w:bookmarkStart w:id="37" w:name="_Toc13964"/>
      <w:bookmarkStart w:id="38" w:name="_Toc28774"/>
      <w:bookmarkStart w:id="39" w:name="_Toc11019"/>
      <w:bookmarkStart w:id="40" w:name="_Toc31514"/>
      <w:bookmarkStart w:id="41" w:name="_Toc24438"/>
      <w:bookmarkStart w:id="42" w:name="_Toc26747"/>
      <w:r>
        <w:rPr>
          <w:rFonts w:hint="eastAsia" w:ascii="仿宋" w:hAnsi="仿宋" w:eastAsia="仿宋" w:cs="仿宋"/>
          <w:b/>
          <w:bCs/>
          <w:sz w:val="32"/>
          <w:szCs w:val="32"/>
          <w:lang w:val="en-US" w:eastAsia="zh-CN"/>
        </w:rPr>
        <w:t>同类项目实施情况一览表</w:t>
      </w:r>
      <w:bookmarkEnd w:id="36"/>
      <w:bookmarkEnd w:id="37"/>
      <w:bookmarkEnd w:id="38"/>
      <w:bookmarkEnd w:id="39"/>
      <w:bookmarkEnd w:id="40"/>
      <w:bookmarkEnd w:id="41"/>
      <w:bookmarkEnd w:id="42"/>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8"/>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94"/>
        <w:gridCol w:w="2565"/>
        <w:gridCol w:w="1526"/>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采购单位名称</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采购数量</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合同金额(万元)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注：合同或发票附后。</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授权代表签名：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日 期：</w:t>
      </w: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43" w:name="_Toc5883"/>
      <w:r>
        <w:rPr>
          <w:rFonts w:hint="eastAsia" w:ascii="黑体" w:hAnsi="黑体" w:eastAsia="黑体" w:cs="黑体"/>
          <w:sz w:val="32"/>
          <w:szCs w:val="32"/>
          <w:lang w:val="en-US" w:eastAsia="zh-CN"/>
        </w:rPr>
        <w:t>附件七 响应文件包装袋密封件正面和封口格式</w:t>
      </w:r>
      <w:bookmarkEnd w:id="43"/>
      <w:r>
        <w:rPr>
          <w:rFonts w:hint="eastAsia" w:ascii="黑体" w:hAnsi="黑体" w:eastAsia="黑体" w:cs="黑体"/>
          <w:sz w:val="32"/>
          <w:szCs w:val="32"/>
          <w:lang w:val="en-US" w:eastAsia="zh-CN"/>
        </w:rPr>
        <w:t xml:space="preserve"> </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44" w:name="_Toc9528"/>
      <w:bookmarkStart w:id="45" w:name="_Toc12419"/>
      <w:bookmarkStart w:id="46" w:name="_Toc30416"/>
      <w:bookmarkStart w:id="47" w:name="_Toc11096"/>
      <w:bookmarkStart w:id="48" w:name="_Toc15730"/>
      <w:r>
        <w:rPr>
          <w:rFonts w:hint="eastAsia" w:ascii="仿宋" w:hAnsi="仿宋" w:eastAsia="仿宋" w:cs="仿宋"/>
          <w:b/>
          <w:bCs/>
          <w:snapToGrid w:val="0"/>
          <w:color w:val="000000"/>
          <w:kern w:val="0"/>
          <w:sz w:val="24"/>
          <w:szCs w:val="24"/>
          <w:lang w:val="en-US" w:eastAsia="zh-CN" w:bidi="ar"/>
        </w:rPr>
        <w:t>响应文件包装袋密封件正面格式</w:t>
      </w:r>
      <w:bookmarkEnd w:id="44"/>
      <w:bookmarkEnd w:id="45"/>
      <w:bookmarkEnd w:id="46"/>
      <w:bookmarkEnd w:id="47"/>
      <w:bookmarkEnd w:id="48"/>
    </w:p>
    <w:p>
      <w:pPr>
        <w:keepNext w:val="0"/>
        <w:keepLines w:val="0"/>
        <w:widowControl/>
        <w:suppressLineNumbers w:val="0"/>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项目编号：</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供应商名称：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供应商地址：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加盖供应商公章</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响应文件封口格式</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请勿在  年  月  日 时（报价截止时间）之前启封</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加盖供应商公章或授权代表签字</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jc w:val="left"/>
        <w:textAlignment w:val="baseline"/>
        <w:rPr>
          <w:rFonts w:hint="eastAsia" w:ascii="仿宋" w:hAnsi="仿宋" w:eastAsia="仿宋" w:cs="仿宋"/>
          <w:snapToGrid w:val="0"/>
          <w:color w:val="000000"/>
          <w:kern w:val="0"/>
          <w:sz w:val="24"/>
          <w:szCs w:val="24"/>
          <w:lang w:val="en-US" w:eastAsia="zh-CN" w:bidi="ar"/>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153"/>
        </w:tabs>
        <w:bidi w:val="0"/>
        <w:jc w:val="left"/>
        <w:rPr>
          <w:rFonts w:hint="eastAsia"/>
          <w:lang w:val="en-US" w:eastAsia="zh-CN"/>
        </w:rPr>
      </w:pPr>
      <w:r>
        <w:rPr>
          <w:rFonts w:hint="eastAsia"/>
          <w:lang w:val="en-US" w:eastAsia="zh-CN"/>
        </w:rPr>
        <w:tab/>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附件八 响应文件封皮格式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49" w:name="_Toc12642"/>
      <w:bookmarkStart w:id="50" w:name="_Toc25340"/>
      <w:bookmarkStart w:id="51" w:name="_Toc8815"/>
      <w:bookmarkStart w:id="52" w:name="_Toc22550"/>
      <w:bookmarkStart w:id="53" w:name="_Toc1701"/>
      <w:r>
        <w:rPr>
          <w:rFonts w:hint="eastAsia" w:ascii="仿宋" w:hAnsi="仿宋" w:eastAsia="仿宋" w:cs="仿宋"/>
          <w:b/>
          <w:bCs/>
          <w:snapToGrid w:val="0"/>
          <w:color w:val="000000"/>
          <w:kern w:val="0"/>
          <w:sz w:val="24"/>
          <w:szCs w:val="24"/>
          <w:lang w:val="en-US" w:eastAsia="zh-CN" w:bidi="ar"/>
        </w:rPr>
        <w:t>响应文件封皮格式</w:t>
      </w:r>
      <w:bookmarkEnd w:id="49"/>
      <w:bookmarkEnd w:id="50"/>
      <w:bookmarkEnd w:id="51"/>
      <w:bookmarkEnd w:id="52"/>
      <w:bookmarkEnd w:id="53"/>
    </w:p>
    <w:p>
      <w:pPr>
        <w:keepNext w:val="0"/>
        <w:keepLines w:val="0"/>
        <w:widowControl/>
        <w:suppressLineNumbers w:val="0"/>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b/>
          <w:bCs/>
          <w:snapToGrid w:val="0"/>
          <w:color w:val="000000"/>
          <w:kern w:val="0"/>
          <w:sz w:val="43"/>
          <w:szCs w:val="43"/>
          <w:lang w:val="en-US" w:eastAsia="zh-CN" w:bidi="ar"/>
        </w:rPr>
        <w:t>响应文件</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48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项目名称：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项目编号：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供应商名称（盖公章）：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地址：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联系电话: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日期：</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附件九 信用中国查询方法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信用中国”网站(www.creditchina.gov.cn)截图，具体步骤如下：第一步：“信用中国”网站(www.creditchina.gov.cn)首页信用信息搜索栏输入供应商(供应商)名称；</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sz w:val="28"/>
          <w:szCs w:val="28"/>
          <w:lang w:val="en-US" w:eastAsia="zh-CN"/>
        </w:rPr>
        <w:t>第二步：分别点击“失信被执行人”、“税收违法黑名单”、“异常经营名录”，将三个页面进行截图(每个搜索栏均需显示供应商名称)</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附件十 产品性能偏离表</w:t>
      </w:r>
    </w:p>
    <w:p>
      <w:pPr>
        <w:pStyle w:val="2"/>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产品（钢制防火门）性能参数偏离表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2895"/>
        <w:gridCol w:w="248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895" w:type="dxa"/>
          </w:tcPr>
          <w:p>
            <w:pPr>
              <w:pStyle w:val="3"/>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采购文件要求</w:t>
            </w:r>
          </w:p>
        </w:tc>
        <w:tc>
          <w:tcPr>
            <w:tcW w:w="2482" w:type="dxa"/>
          </w:tcPr>
          <w:p>
            <w:pPr>
              <w:pStyle w:val="3"/>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提供的产品性能</w:t>
            </w:r>
          </w:p>
        </w:tc>
        <w:tc>
          <w:tcPr>
            <w:tcW w:w="2131" w:type="dxa"/>
          </w:tcPr>
          <w:p>
            <w:pPr>
              <w:pStyle w:val="3"/>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4" w:type="dxa"/>
          </w:tcPr>
          <w:p>
            <w:pPr>
              <w:pStyle w:val="3"/>
              <w:jc w:val="center"/>
              <w:rPr>
                <w:rFonts w:hint="eastAsia" w:ascii="仿宋" w:hAnsi="仿宋" w:eastAsia="仿宋" w:cs="仿宋"/>
                <w:sz w:val="24"/>
                <w:szCs w:val="24"/>
                <w:vertAlign w:val="baseline"/>
                <w:lang w:val="en-US" w:eastAsia="zh-CN"/>
              </w:rPr>
            </w:pPr>
          </w:p>
        </w:tc>
        <w:tc>
          <w:tcPr>
            <w:tcW w:w="2895" w:type="dxa"/>
          </w:tcPr>
          <w:p>
            <w:pPr>
              <w:pStyle w:val="3"/>
              <w:jc w:val="center"/>
              <w:rPr>
                <w:rFonts w:hint="eastAsia" w:ascii="仿宋" w:hAnsi="仿宋" w:eastAsia="仿宋" w:cs="仿宋"/>
                <w:sz w:val="24"/>
                <w:szCs w:val="24"/>
                <w:vertAlign w:val="baseline"/>
                <w:lang w:val="en-US" w:eastAsia="zh-CN"/>
              </w:rPr>
            </w:pPr>
          </w:p>
        </w:tc>
        <w:tc>
          <w:tcPr>
            <w:tcW w:w="2482" w:type="dxa"/>
          </w:tcPr>
          <w:p>
            <w:pPr>
              <w:pStyle w:val="3"/>
              <w:jc w:val="center"/>
              <w:rPr>
                <w:rFonts w:hint="eastAsia" w:ascii="仿宋" w:hAnsi="仿宋" w:eastAsia="仿宋" w:cs="仿宋"/>
                <w:sz w:val="24"/>
                <w:szCs w:val="24"/>
                <w:vertAlign w:val="baseline"/>
                <w:lang w:val="en-US" w:eastAsia="zh-CN"/>
              </w:rPr>
            </w:pPr>
          </w:p>
        </w:tc>
        <w:tc>
          <w:tcPr>
            <w:tcW w:w="2131" w:type="dxa"/>
          </w:tcPr>
          <w:p>
            <w:pPr>
              <w:pStyle w:val="3"/>
              <w:jc w:val="center"/>
              <w:rPr>
                <w:rFonts w:hint="eastAsia" w:ascii="仿宋" w:hAnsi="仿宋" w:eastAsia="仿宋" w:cs="仿宋"/>
                <w:sz w:val="24"/>
                <w:szCs w:val="24"/>
                <w:vertAlign w:val="baseline"/>
                <w:lang w:val="en-US" w:eastAsia="zh-CN"/>
              </w:rPr>
            </w:pPr>
          </w:p>
        </w:tc>
      </w:tr>
    </w:tbl>
    <w:p>
      <w:pPr>
        <w:bidi w:val="0"/>
        <w:ind w:firstLine="321" w:firstLineChars="0"/>
        <w:jc w:val="left"/>
        <w:rPr>
          <w:rFonts w:hint="eastAsia"/>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04ECE"/>
    <w:multiLevelType w:val="singleLevel"/>
    <w:tmpl w:val="A4E04ECE"/>
    <w:lvl w:ilvl="0" w:tentative="0">
      <w:start w:val="1"/>
      <w:numFmt w:val="decimal"/>
      <w:lvlText w:val="%1."/>
      <w:lvlJc w:val="left"/>
      <w:pPr>
        <w:tabs>
          <w:tab w:val="left" w:pos="312"/>
        </w:tabs>
      </w:pPr>
    </w:lvl>
  </w:abstractNum>
  <w:abstractNum w:abstractNumId="1">
    <w:nsid w:val="BAE5E613"/>
    <w:multiLevelType w:val="singleLevel"/>
    <w:tmpl w:val="BAE5E613"/>
    <w:lvl w:ilvl="0" w:tentative="0">
      <w:start w:val="3"/>
      <w:numFmt w:val="chineseCounting"/>
      <w:suff w:val="nothing"/>
      <w:lvlText w:val="%1、"/>
      <w:lvlJc w:val="left"/>
      <w:rPr>
        <w:rFonts w:hint="eastAsia"/>
      </w:rPr>
    </w:lvl>
  </w:abstractNum>
  <w:abstractNum w:abstractNumId="2">
    <w:nsid w:val="7581F4D5"/>
    <w:multiLevelType w:val="singleLevel"/>
    <w:tmpl w:val="7581F4D5"/>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JmZjVkZTgzMDI1MTM1MjQ5MGRiNjIxNWQ5NGUifQ=="/>
  </w:docVars>
  <w:rsids>
    <w:rsidRoot w:val="491A7C80"/>
    <w:rsid w:val="060931C3"/>
    <w:rsid w:val="0C430AAE"/>
    <w:rsid w:val="0C671F8A"/>
    <w:rsid w:val="18E969C1"/>
    <w:rsid w:val="1900123B"/>
    <w:rsid w:val="1CFA4773"/>
    <w:rsid w:val="1F212194"/>
    <w:rsid w:val="304D3449"/>
    <w:rsid w:val="33BB4021"/>
    <w:rsid w:val="3D7E3B32"/>
    <w:rsid w:val="4478743D"/>
    <w:rsid w:val="453C2951"/>
    <w:rsid w:val="491A7C80"/>
    <w:rsid w:val="51781DF4"/>
    <w:rsid w:val="633262E8"/>
    <w:rsid w:val="67A071B4"/>
    <w:rsid w:val="78473FBE"/>
    <w:rsid w:val="79F93285"/>
    <w:rsid w:val="7F67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9"/>
    <w:pPr>
      <w:keepNext/>
      <w:keepLines/>
      <w:spacing w:before="260" w:beforeLines="0" w:after="260" w:afterLines="0" w:line="415" w:lineRule="auto"/>
      <w:jc w:val="center"/>
      <w:outlineLvl w:val="1"/>
    </w:pPr>
    <w:rPr>
      <w:rFonts w:ascii="Arial" w:hAnsi="Arial" w:eastAsia="黑体"/>
      <w:sz w:val="8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uiPriority w:val="99"/>
    <w:pPr>
      <w:spacing w:after="120"/>
    </w:pPr>
    <w:rPr>
      <w:rFonts w:eastAsia="Times New Roman"/>
    </w:rPr>
  </w:style>
  <w:style w:type="paragraph" w:styleId="3">
    <w:name w:val="Plain Text"/>
    <w:basedOn w:val="1"/>
    <w:uiPriority w:val="0"/>
    <w:rPr>
      <w:rFonts w:ascii="宋体" w:hAnsi="Courier New"/>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styleId="12">
    <w:name w:val="List Paragraph"/>
    <w:basedOn w:val="1"/>
    <w:qFormat/>
    <w:uiPriority w:val="34"/>
    <w:pPr>
      <w:ind w:firstLine="420" w:firstLineChars="200"/>
    </w:p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6144</Words>
  <Characters>6694</Characters>
  <Lines>0</Lines>
  <Paragraphs>0</Paragraphs>
  <TotalTime>1</TotalTime>
  <ScaleCrop>false</ScaleCrop>
  <LinksUpToDate>false</LinksUpToDate>
  <CharactersWithSpaces>7101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2023-02-10T00:53:00Z</dcterms:created>
  <dc:creator>依心而行</dc:creator>
  <cp:lastModifiedBy>依心而行</cp:lastModifiedBy>
  <dcterms:modified xsi:type="dcterms:W3CDTF">2023-03-14T04:47:34Z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51D36B32C93743A9B7DDEADD5AC2341A</vt:lpwstr>
  </property>
</Properties>
</file>